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31CA2" w14:textId="77777777" w:rsidR="007D01F8" w:rsidRDefault="007D01F8" w:rsidP="00D22867">
      <w:pPr>
        <w:jc w:val="center"/>
        <w:rPr>
          <w:rFonts w:ascii="Arial" w:eastAsia="Calibri" w:hAnsi="Arial" w:cs="Arial"/>
          <w:b/>
          <w:bCs/>
          <w:lang w:val="es-ES"/>
        </w:rPr>
      </w:pPr>
    </w:p>
    <w:tbl>
      <w:tblPr>
        <w:tblStyle w:val="TableGrid"/>
        <w:tblW w:w="9810" w:type="dxa"/>
        <w:tblInd w:w="-459" w:type="dxa"/>
        <w:tblLook w:val="04A0" w:firstRow="1" w:lastRow="0" w:firstColumn="1" w:lastColumn="0" w:noHBand="0" w:noVBand="1"/>
      </w:tblPr>
      <w:tblGrid>
        <w:gridCol w:w="2410"/>
        <w:gridCol w:w="2297"/>
        <w:gridCol w:w="3090"/>
        <w:gridCol w:w="2013"/>
      </w:tblGrid>
      <w:tr w:rsidR="00C13508" w:rsidRPr="001020FC" w14:paraId="55CF1BD8" w14:textId="77777777" w:rsidTr="003A3CEF">
        <w:tc>
          <w:tcPr>
            <w:tcW w:w="2410" w:type="dxa"/>
            <w:shd w:val="clear" w:color="auto" w:fill="0070C0"/>
            <w:vAlign w:val="center"/>
          </w:tcPr>
          <w:p w14:paraId="169D7C9D" w14:textId="77777777" w:rsidR="00C13508" w:rsidRPr="001020FC" w:rsidRDefault="00C13508" w:rsidP="006E7851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Dominio (s)</w:t>
            </w:r>
          </w:p>
        </w:tc>
        <w:tc>
          <w:tcPr>
            <w:tcW w:w="2297" w:type="dxa"/>
            <w:shd w:val="clear" w:color="auto" w:fill="0070C0"/>
            <w:vAlign w:val="center"/>
          </w:tcPr>
          <w:p w14:paraId="32C24371" w14:textId="77777777" w:rsidR="00C13508" w:rsidRPr="001020FC" w:rsidRDefault="00C13508" w:rsidP="006E7851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Principio(s)</w:t>
            </w:r>
          </w:p>
        </w:tc>
        <w:tc>
          <w:tcPr>
            <w:tcW w:w="3090" w:type="dxa"/>
            <w:shd w:val="clear" w:color="auto" w:fill="0070C0"/>
            <w:vAlign w:val="center"/>
          </w:tcPr>
          <w:p w14:paraId="61A20690" w14:textId="77777777" w:rsidR="00C13508" w:rsidRPr="001020FC" w:rsidRDefault="00C13508" w:rsidP="006E7851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Norma(s)</w:t>
            </w:r>
          </w:p>
        </w:tc>
        <w:tc>
          <w:tcPr>
            <w:tcW w:w="2013" w:type="dxa"/>
            <w:shd w:val="clear" w:color="auto" w:fill="0070C0"/>
          </w:tcPr>
          <w:p w14:paraId="1FE2AB37" w14:textId="58B00AB2" w:rsidR="00C13508" w:rsidRPr="001020FC" w:rsidRDefault="00C13508" w:rsidP="006E7851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 xml:space="preserve">Documentos </w:t>
            </w:r>
            <w:r w:rsidR="00B60662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CHU</w:t>
            </w: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 xml:space="preserve"> relacionados </w:t>
            </w:r>
          </w:p>
        </w:tc>
      </w:tr>
      <w:tr w:rsidR="00C13508" w:rsidRPr="001020FC" w14:paraId="3F61D71A" w14:textId="77777777" w:rsidTr="003A3CEF">
        <w:trPr>
          <w:trHeight w:val="1186"/>
        </w:trPr>
        <w:tc>
          <w:tcPr>
            <w:tcW w:w="2410" w:type="dxa"/>
            <w:vAlign w:val="center"/>
          </w:tcPr>
          <w:p w14:paraId="056C1686" w14:textId="77777777" w:rsidR="00C13508" w:rsidRPr="001020FC" w:rsidRDefault="00C13508" w:rsidP="006E7851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2409F3">
              <w:rPr>
                <w:rFonts w:ascii="Arial" w:eastAsia="Calibri" w:hAnsi="Arial" w:cs="Arial"/>
                <w:bCs/>
                <w:lang w:val="es-ES"/>
              </w:rPr>
              <w:t>Dominio III: Gobierno de la Función De Auditoría Interna</w:t>
            </w:r>
          </w:p>
        </w:tc>
        <w:tc>
          <w:tcPr>
            <w:tcW w:w="2297" w:type="dxa"/>
            <w:vAlign w:val="center"/>
          </w:tcPr>
          <w:p w14:paraId="1EA8B91F" w14:textId="77777777" w:rsidR="00C13508" w:rsidRPr="001020FC" w:rsidRDefault="00C13508" w:rsidP="006E7851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BD0435">
              <w:rPr>
                <w:rFonts w:ascii="Arial" w:eastAsia="Calibri" w:hAnsi="Arial" w:cs="Arial"/>
                <w:bCs/>
                <w:lang w:val="es-ES"/>
              </w:rPr>
              <w:t>Principio 8 Supervisión del Consejo</w:t>
            </w:r>
          </w:p>
        </w:tc>
        <w:tc>
          <w:tcPr>
            <w:tcW w:w="3090" w:type="dxa"/>
            <w:vAlign w:val="center"/>
          </w:tcPr>
          <w:p w14:paraId="49D294B5" w14:textId="77777777" w:rsidR="00C13508" w:rsidRPr="001020FC" w:rsidRDefault="00C13508" w:rsidP="006E7851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7E7732">
              <w:rPr>
                <w:rFonts w:ascii="Arial" w:eastAsia="Calibri" w:hAnsi="Arial" w:cs="Arial"/>
                <w:bCs/>
                <w:lang w:val="es-ES"/>
              </w:rPr>
              <w:t>Norma 8.2: Recursos</w:t>
            </w:r>
          </w:p>
        </w:tc>
        <w:tc>
          <w:tcPr>
            <w:tcW w:w="2013" w:type="dxa"/>
            <w:vAlign w:val="center"/>
          </w:tcPr>
          <w:p w14:paraId="2E9FB14E" w14:textId="77777777" w:rsidR="00C13508" w:rsidRPr="00572D91" w:rsidRDefault="00C13508" w:rsidP="006E7851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572D91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C13508" w:rsidRPr="001020FC" w14:paraId="0801CA56" w14:textId="77777777" w:rsidTr="003A3CEF">
        <w:trPr>
          <w:trHeight w:val="660"/>
        </w:trPr>
        <w:tc>
          <w:tcPr>
            <w:tcW w:w="2410" w:type="dxa"/>
            <w:vMerge w:val="restart"/>
            <w:vAlign w:val="center"/>
          </w:tcPr>
          <w:p w14:paraId="2785CB27" w14:textId="77777777" w:rsidR="00C13508" w:rsidRPr="00104E6D" w:rsidRDefault="00C13508" w:rsidP="006E7851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104E6D">
              <w:rPr>
                <w:rFonts w:ascii="Arial" w:eastAsia="Calibri" w:hAnsi="Arial" w:cs="Arial"/>
                <w:lang w:val="es-ES"/>
              </w:rPr>
              <w:t>Dominio IV:</w:t>
            </w:r>
          </w:p>
          <w:p w14:paraId="52CF4E50" w14:textId="77777777" w:rsidR="00C13508" w:rsidRPr="00104E6D" w:rsidRDefault="00C13508" w:rsidP="006E7851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104E6D">
              <w:rPr>
                <w:rFonts w:ascii="Arial" w:eastAsia="Calibri" w:hAnsi="Arial" w:cs="Arial"/>
                <w:lang w:val="es-ES"/>
              </w:rPr>
              <w:t>Gestión de la Función</w:t>
            </w:r>
          </w:p>
          <w:p w14:paraId="75FC4746" w14:textId="77777777" w:rsidR="00C13508" w:rsidRDefault="00C13508" w:rsidP="006E7851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104E6D">
              <w:rPr>
                <w:rFonts w:ascii="Arial" w:eastAsia="Calibri" w:hAnsi="Arial" w:cs="Arial"/>
                <w:lang w:val="es-ES"/>
              </w:rPr>
              <w:t>de Auditoría Interna</w:t>
            </w:r>
          </w:p>
          <w:p w14:paraId="6A473E11" w14:textId="77777777" w:rsidR="00C13508" w:rsidRDefault="00C13508" w:rsidP="006E7851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2297" w:type="dxa"/>
            <w:vAlign w:val="center"/>
          </w:tcPr>
          <w:p w14:paraId="4A24F2E8" w14:textId="77777777" w:rsidR="00C13508" w:rsidRPr="001020FC" w:rsidRDefault="00C13508" w:rsidP="006E7851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487937">
              <w:rPr>
                <w:rFonts w:ascii="Arial" w:eastAsia="Calibri" w:hAnsi="Arial" w:cs="Arial"/>
                <w:lang w:val="es-ES"/>
              </w:rPr>
              <w:t>Principio 9 Planificar estratégicamente</w:t>
            </w:r>
          </w:p>
        </w:tc>
        <w:tc>
          <w:tcPr>
            <w:tcW w:w="3090" w:type="dxa"/>
            <w:vAlign w:val="center"/>
          </w:tcPr>
          <w:p w14:paraId="06879B3B" w14:textId="77777777" w:rsidR="00C13508" w:rsidRPr="000140FE" w:rsidRDefault="00C13508" w:rsidP="006E7851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7F3556">
              <w:rPr>
                <w:rFonts w:ascii="Arial" w:eastAsia="Calibri" w:hAnsi="Arial" w:cs="Arial"/>
                <w:lang w:val="es-ES"/>
              </w:rPr>
              <w:t>Norma 9.3 Metodologías</w:t>
            </w:r>
          </w:p>
        </w:tc>
        <w:tc>
          <w:tcPr>
            <w:tcW w:w="2013" w:type="dxa"/>
            <w:vAlign w:val="center"/>
          </w:tcPr>
          <w:p w14:paraId="1B5ADDF5" w14:textId="77777777" w:rsidR="00C13508" w:rsidRPr="00572D91" w:rsidRDefault="00C13508" w:rsidP="006E7851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572D91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C13508" w:rsidRPr="001020FC" w14:paraId="3C716E71" w14:textId="77777777" w:rsidTr="003A3CEF">
        <w:trPr>
          <w:trHeight w:val="660"/>
        </w:trPr>
        <w:tc>
          <w:tcPr>
            <w:tcW w:w="2410" w:type="dxa"/>
            <w:vMerge/>
            <w:vAlign w:val="center"/>
          </w:tcPr>
          <w:p w14:paraId="47BBFFE9" w14:textId="77777777" w:rsidR="00C13508" w:rsidRPr="001020FC" w:rsidRDefault="00C13508" w:rsidP="006E7851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2297" w:type="dxa"/>
            <w:vMerge w:val="restart"/>
            <w:vAlign w:val="center"/>
          </w:tcPr>
          <w:p w14:paraId="1255701A" w14:textId="77777777" w:rsidR="00C13508" w:rsidRDefault="00C13508" w:rsidP="006E7851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  <w:p w14:paraId="72BA62D8" w14:textId="77777777" w:rsidR="00C13508" w:rsidRPr="001020FC" w:rsidRDefault="00C13508" w:rsidP="006E7851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572D91">
              <w:rPr>
                <w:rFonts w:ascii="Arial" w:eastAsia="Calibri" w:hAnsi="Arial" w:cs="Arial"/>
                <w:bCs/>
                <w:lang w:val="es-ES"/>
              </w:rPr>
              <w:t>Principio 10 Gestionar los recursos</w:t>
            </w:r>
          </w:p>
        </w:tc>
        <w:tc>
          <w:tcPr>
            <w:tcW w:w="3090" w:type="dxa"/>
            <w:vAlign w:val="center"/>
          </w:tcPr>
          <w:p w14:paraId="736EEAA8" w14:textId="77777777" w:rsidR="00C13508" w:rsidRPr="001020FC" w:rsidRDefault="00C13508" w:rsidP="006E7851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0140FE">
              <w:rPr>
                <w:rFonts w:ascii="Arial" w:eastAsia="Calibri" w:hAnsi="Arial" w:cs="Arial"/>
                <w:bCs/>
                <w:lang w:val="es-ES"/>
              </w:rPr>
              <w:t>Norma 10.1: Gestión de los recursos financieros</w:t>
            </w:r>
          </w:p>
        </w:tc>
        <w:tc>
          <w:tcPr>
            <w:tcW w:w="2013" w:type="dxa"/>
          </w:tcPr>
          <w:p w14:paraId="012D2858" w14:textId="77777777" w:rsidR="00C13508" w:rsidRPr="00572D91" w:rsidRDefault="00C13508" w:rsidP="006E7851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572D91">
              <w:rPr>
                <w:rFonts w:ascii="Arial" w:hAnsi="Arial" w:cs="Arial"/>
              </w:rPr>
              <w:t>……</w:t>
            </w:r>
          </w:p>
        </w:tc>
      </w:tr>
      <w:tr w:rsidR="00C13508" w:rsidRPr="001020FC" w14:paraId="5F5688D3" w14:textId="77777777" w:rsidTr="003A3CEF">
        <w:trPr>
          <w:trHeight w:val="405"/>
        </w:trPr>
        <w:tc>
          <w:tcPr>
            <w:tcW w:w="2410" w:type="dxa"/>
            <w:vMerge/>
            <w:vAlign w:val="center"/>
          </w:tcPr>
          <w:p w14:paraId="66A6C0E9" w14:textId="77777777" w:rsidR="00C13508" w:rsidRDefault="00C13508" w:rsidP="006E7851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2297" w:type="dxa"/>
            <w:vMerge/>
            <w:vAlign w:val="center"/>
          </w:tcPr>
          <w:p w14:paraId="2643AA79" w14:textId="77777777" w:rsidR="00C13508" w:rsidRPr="001020FC" w:rsidRDefault="00C13508" w:rsidP="006E7851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3090" w:type="dxa"/>
            <w:vAlign w:val="center"/>
          </w:tcPr>
          <w:p w14:paraId="0CEFB927" w14:textId="77777777" w:rsidR="00C13508" w:rsidRPr="000140FE" w:rsidRDefault="00C13508" w:rsidP="006E7851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0140FE">
              <w:rPr>
                <w:rFonts w:ascii="Arial" w:eastAsia="Calibri" w:hAnsi="Arial" w:cs="Arial"/>
                <w:bCs/>
                <w:lang w:val="es-ES"/>
              </w:rPr>
              <w:t>Norma 10.2: Gestión de los recursos humanos</w:t>
            </w:r>
          </w:p>
        </w:tc>
        <w:tc>
          <w:tcPr>
            <w:tcW w:w="2013" w:type="dxa"/>
          </w:tcPr>
          <w:p w14:paraId="639ED4CC" w14:textId="77777777" w:rsidR="00C13508" w:rsidRPr="00572D91" w:rsidRDefault="00C13508" w:rsidP="006E7851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572D91">
              <w:rPr>
                <w:rFonts w:ascii="Arial" w:hAnsi="Arial" w:cs="Arial"/>
              </w:rPr>
              <w:t>……</w:t>
            </w:r>
          </w:p>
        </w:tc>
      </w:tr>
      <w:tr w:rsidR="00C13508" w:rsidRPr="001020FC" w14:paraId="4960D1E8" w14:textId="77777777" w:rsidTr="003A3CEF">
        <w:trPr>
          <w:trHeight w:val="660"/>
        </w:trPr>
        <w:tc>
          <w:tcPr>
            <w:tcW w:w="2410" w:type="dxa"/>
            <w:vMerge/>
            <w:vAlign w:val="center"/>
          </w:tcPr>
          <w:p w14:paraId="15CBE404" w14:textId="77777777" w:rsidR="00C13508" w:rsidRDefault="00C13508" w:rsidP="006E7851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2297" w:type="dxa"/>
            <w:vMerge/>
            <w:vAlign w:val="center"/>
          </w:tcPr>
          <w:p w14:paraId="49F72D5E" w14:textId="77777777" w:rsidR="00C13508" w:rsidRPr="001020FC" w:rsidRDefault="00C13508" w:rsidP="006E7851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3090" w:type="dxa"/>
            <w:vAlign w:val="center"/>
          </w:tcPr>
          <w:p w14:paraId="2A9446AB" w14:textId="77777777" w:rsidR="00C13508" w:rsidRPr="000140FE" w:rsidRDefault="00C13508" w:rsidP="006E7851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0140FE">
              <w:rPr>
                <w:rFonts w:ascii="Arial" w:eastAsia="Calibri" w:hAnsi="Arial" w:cs="Arial"/>
                <w:bCs/>
                <w:lang w:val="es-ES"/>
              </w:rPr>
              <w:t>Norma 10.3: Recursos tecnológicos</w:t>
            </w:r>
          </w:p>
        </w:tc>
        <w:tc>
          <w:tcPr>
            <w:tcW w:w="2013" w:type="dxa"/>
          </w:tcPr>
          <w:p w14:paraId="1567C798" w14:textId="77777777" w:rsidR="00C13508" w:rsidRPr="00572D91" w:rsidRDefault="00C13508" w:rsidP="006E7851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572D91">
              <w:rPr>
                <w:rFonts w:ascii="Arial" w:hAnsi="Arial" w:cs="Arial"/>
              </w:rPr>
              <w:t>……</w:t>
            </w:r>
          </w:p>
        </w:tc>
      </w:tr>
    </w:tbl>
    <w:p w14:paraId="1285E0BE" w14:textId="77777777" w:rsidR="001020FC" w:rsidRPr="001020FC" w:rsidRDefault="001020FC" w:rsidP="001020FC">
      <w:pPr>
        <w:jc w:val="center"/>
        <w:rPr>
          <w:rFonts w:ascii="Arial" w:eastAsia="Calibri" w:hAnsi="Arial" w:cs="Arial"/>
          <w:b/>
          <w:bCs/>
          <w:lang w:val="es-ES"/>
        </w:rPr>
      </w:pPr>
    </w:p>
    <w:p w14:paraId="375082CE" w14:textId="4521B2BF" w:rsidR="00D22867" w:rsidRDefault="00D22867" w:rsidP="00D22867">
      <w:pPr>
        <w:jc w:val="center"/>
        <w:rPr>
          <w:rFonts w:ascii="Arial" w:eastAsia="Calibri" w:hAnsi="Arial" w:cs="Arial"/>
          <w:b/>
          <w:bCs/>
          <w:lang w:val="es-ES"/>
        </w:rPr>
      </w:pPr>
      <w:r>
        <w:rPr>
          <w:rFonts w:ascii="Arial" w:eastAsia="Calibri" w:hAnsi="Arial" w:cs="Arial"/>
          <w:b/>
          <w:bCs/>
          <w:lang w:val="es-ES"/>
        </w:rPr>
        <w:t>ÍNDICE</w:t>
      </w:r>
    </w:p>
    <w:tbl>
      <w:tblPr>
        <w:tblStyle w:val="TableGrid"/>
        <w:tblW w:w="9923" w:type="dxa"/>
        <w:tblInd w:w="-459" w:type="dxa"/>
        <w:tblLook w:val="04A0" w:firstRow="1" w:lastRow="0" w:firstColumn="1" w:lastColumn="0" w:noHBand="0" w:noVBand="1"/>
      </w:tblPr>
      <w:tblGrid>
        <w:gridCol w:w="8080"/>
        <w:gridCol w:w="1843"/>
      </w:tblGrid>
      <w:tr w:rsidR="00D22867" w14:paraId="0E178552" w14:textId="77777777" w:rsidTr="00C76C9F">
        <w:trPr>
          <w:trHeight w:val="147"/>
        </w:trPr>
        <w:tc>
          <w:tcPr>
            <w:tcW w:w="8080" w:type="dxa"/>
            <w:shd w:val="clear" w:color="auto" w:fill="0070C0"/>
            <w:vAlign w:val="center"/>
          </w:tcPr>
          <w:p w14:paraId="26B6D8E7" w14:textId="77777777" w:rsidR="00D22867" w:rsidRPr="009F5635" w:rsidRDefault="00D22867" w:rsidP="0026391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9F5635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Materias</w:t>
            </w:r>
          </w:p>
        </w:tc>
        <w:tc>
          <w:tcPr>
            <w:tcW w:w="1843" w:type="dxa"/>
            <w:shd w:val="clear" w:color="auto" w:fill="0070C0"/>
            <w:vAlign w:val="center"/>
          </w:tcPr>
          <w:p w14:paraId="4FABD502" w14:textId="77777777" w:rsidR="00D22867" w:rsidRPr="009F5635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9F5635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Materias</w:t>
            </w:r>
          </w:p>
        </w:tc>
      </w:tr>
      <w:tr w:rsidR="00D22867" w14:paraId="241DC35A" w14:textId="77777777" w:rsidTr="00C76C9F">
        <w:tc>
          <w:tcPr>
            <w:tcW w:w="8080" w:type="dxa"/>
          </w:tcPr>
          <w:p w14:paraId="37625B3A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5352A200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382B90C6" w14:textId="77777777" w:rsidTr="00C76C9F">
        <w:tc>
          <w:tcPr>
            <w:tcW w:w="8080" w:type="dxa"/>
          </w:tcPr>
          <w:p w14:paraId="24DC1602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2A451B0D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1D52A84B" w14:textId="77777777" w:rsidTr="00C76C9F">
        <w:tc>
          <w:tcPr>
            <w:tcW w:w="8080" w:type="dxa"/>
          </w:tcPr>
          <w:p w14:paraId="7A5DC79B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7ABF70AD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5E30DD28" w14:textId="77777777" w:rsidTr="00C76C9F">
        <w:tc>
          <w:tcPr>
            <w:tcW w:w="8080" w:type="dxa"/>
          </w:tcPr>
          <w:p w14:paraId="070EFA13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649C608D" w14:textId="77777777" w:rsidR="00D22867" w:rsidRPr="00F12664" w:rsidRDefault="00D22867" w:rsidP="0026391C">
            <w:pPr>
              <w:tabs>
                <w:tab w:val="left" w:pos="630"/>
              </w:tabs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02CEC898" w14:textId="77777777" w:rsidTr="00C76C9F">
        <w:tc>
          <w:tcPr>
            <w:tcW w:w="8080" w:type="dxa"/>
          </w:tcPr>
          <w:p w14:paraId="13A142DE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2C8EF160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162A8824" w14:textId="77777777" w:rsidTr="00C76C9F">
        <w:tc>
          <w:tcPr>
            <w:tcW w:w="8080" w:type="dxa"/>
          </w:tcPr>
          <w:p w14:paraId="51F22517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5185D433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54495733" w14:textId="77777777" w:rsidTr="00C76C9F">
        <w:tc>
          <w:tcPr>
            <w:tcW w:w="8080" w:type="dxa"/>
          </w:tcPr>
          <w:p w14:paraId="78B577DC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64C42842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0E928FBA" w14:textId="77777777" w:rsidTr="00C76C9F">
        <w:tc>
          <w:tcPr>
            <w:tcW w:w="8080" w:type="dxa"/>
          </w:tcPr>
          <w:p w14:paraId="1CA31699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37A6A19B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4C17CD7D" w14:textId="77777777" w:rsidTr="00C76C9F">
        <w:tc>
          <w:tcPr>
            <w:tcW w:w="8080" w:type="dxa"/>
          </w:tcPr>
          <w:p w14:paraId="27A092EF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5631B5C9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3C45D206" w14:textId="77777777" w:rsidTr="00C76C9F">
        <w:tc>
          <w:tcPr>
            <w:tcW w:w="8080" w:type="dxa"/>
          </w:tcPr>
          <w:p w14:paraId="48331CB6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6BE145F6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5D96FA22" w14:textId="77777777" w:rsidR="00D22867" w:rsidRDefault="00D22867" w:rsidP="00D22867">
      <w:pPr>
        <w:jc w:val="both"/>
        <w:rPr>
          <w:rFonts w:ascii="Arial" w:eastAsia="Calibri" w:hAnsi="Arial" w:cs="Arial"/>
          <w:b/>
          <w:bCs/>
          <w:lang w:val="es-ES"/>
        </w:rPr>
      </w:pPr>
    </w:p>
    <w:p w14:paraId="0406CEE9" w14:textId="77777777" w:rsidR="00D22867" w:rsidRDefault="00D22867" w:rsidP="00D22867">
      <w:pPr>
        <w:jc w:val="both"/>
        <w:rPr>
          <w:rFonts w:ascii="Arial" w:eastAsia="Calibri" w:hAnsi="Arial" w:cs="Arial"/>
          <w:b/>
          <w:bCs/>
          <w:lang w:val="es-ES"/>
        </w:rPr>
      </w:pPr>
    </w:p>
    <w:tbl>
      <w:tblPr>
        <w:tblStyle w:val="TableGrid"/>
        <w:tblW w:w="5480" w:type="pct"/>
        <w:tblInd w:w="-459" w:type="dxa"/>
        <w:tblLook w:val="04A0" w:firstRow="1" w:lastRow="0" w:firstColumn="1" w:lastColumn="0" w:noHBand="0" w:noVBand="1"/>
      </w:tblPr>
      <w:tblGrid>
        <w:gridCol w:w="1992"/>
        <w:gridCol w:w="3025"/>
        <w:gridCol w:w="1843"/>
        <w:gridCol w:w="2815"/>
      </w:tblGrid>
      <w:tr w:rsidR="00D22867" w:rsidRPr="004737D4" w14:paraId="4B23D1DC" w14:textId="77777777" w:rsidTr="00C76C9F">
        <w:trPr>
          <w:trHeight w:val="7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143C6AFB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Responsable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6CE0EAB5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Nombre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0B99258E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Fecha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0D427F8C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Firma</w:t>
            </w:r>
          </w:p>
        </w:tc>
      </w:tr>
      <w:tr w:rsidR="00D22867" w:rsidRPr="004737D4" w14:paraId="547FBE1E" w14:textId="77777777" w:rsidTr="00C76C9F">
        <w:trPr>
          <w:trHeight w:val="42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C102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Realizado por: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4CA2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B3B2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B37D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D22867" w:rsidRPr="004737D4" w14:paraId="1CF07535" w14:textId="77777777" w:rsidTr="00C76C9F">
        <w:trPr>
          <w:trHeight w:val="465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D5A8B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Revisado por: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5192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4E64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3203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D22867" w:rsidRPr="004737D4" w14:paraId="01E4D47F" w14:textId="77777777" w:rsidTr="00C76C9F">
        <w:trPr>
          <w:trHeight w:val="43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D3D1B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Aprobado por: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2042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4996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CF85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</w:tbl>
    <w:p w14:paraId="42B8C1EF" w14:textId="77777777" w:rsidR="00D22867" w:rsidRDefault="00D22867" w:rsidP="00D22867">
      <w:pPr>
        <w:pStyle w:val="Heading1"/>
        <w:spacing w:before="0" w:line="24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7A45FC80" w14:textId="68FFBE7A" w:rsidR="00451669" w:rsidRPr="00451669" w:rsidRDefault="00451669" w:rsidP="00451669">
      <w:pPr>
        <w:jc w:val="both"/>
        <w:rPr>
          <w:rFonts w:ascii="Arial" w:eastAsia="Calibri" w:hAnsi="Arial" w:cs="Arial"/>
          <w:b/>
          <w:bCs/>
        </w:rPr>
      </w:pPr>
      <w:r w:rsidRPr="00451669">
        <w:rPr>
          <w:rFonts w:ascii="Arial" w:eastAsia="Calibri" w:hAnsi="Arial" w:cs="Arial"/>
          <w:b/>
          <w:bCs/>
        </w:rPr>
        <w:t>1. OBJETIVO</w:t>
      </w:r>
    </w:p>
    <w:p w14:paraId="3B7A4EA5" w14:textId="2D179A41" w:rsidR="00613FE0" w:rsidRDefault="004A4821" w:rsidP="00210B26">
      <w:pPr>
        <w:jc w:val="both"/>
        <w:rPr>
          <w:rFonts w:ascii="Arial" w:eastAsia="Calibri" w:hAnsi="Arial" w:cs="Arial"/>
        </w:rPr>
      </w:pPr>
      <w:r w:rsidRPr="00210B26">
        <w:rPr>
          <w:rFonts w:ascii="Arial" w:eastAsia="Calibri" w:hAnsi="Arial" w:cs="Arial"/>
        </w:rPr>
        <w:t xml:space="preserve">Establecer los principios y lineamientos fundamentales </w:t>
      </w:r>
      <w:r w:rsidR="00B60662" w:rsidRPr="00B60662">
        <w:rPr>
          <w:rFonts w:ascii="Arial" w:eastAsia="Calibri" w:hAnsi="Arial" w:cs="Arial"/>
        </w:rPr>
        <w:t xml:space="preserve">para </w:t>
      </w:r>
      <w:r w:rsidR="00613FE0" w:rsidRPr="00613FE0">
        <w:rPr>
          <w:rFonts w:ascii="Arial" w:eastAsia="Calibri" w:hAnsi="Arial" w:cs="Arial"/>
        </w:rPr>
        <w:t>la evaluación, obtención y gestión de los recursos necesarios para que la Función de Auditoría Interna pueda cumplir su Mandato y alcanzar los objetivos del Plan de Auditoría Interna de manera eficaz y eficiente.</w:t>
      </w:r>
    </w:p>
    <w:p w14:paraId="6ABCF361" w14:textId="5E27D2ED" w:rsidR="00451669" w:rsidRPr="00210B26" w:rsidRDefault="002F0244" w:rsidP="00210B26">
      <w:pPr>
        <w:jc w:val="both"/>
        <w:rPr>
          <w:rFonts w:ascii="Arial" w:eastAsia="Calibri" w:hAnsi="Arial" w:cs="Arial"/>
          <w:b/>
          <w:bCs/>
        </w:rPr>
      </w:pPr>
      <w:r w:rsidRPr="00210B26">
        <w:rPr>
          <w:rFonts w:ascii="Arial" w:eastAsia="Calibri" w:hAnsi="Arial" w:cs="Arial"/>
          <w:b/>
          <w:bCs/>
        </w:rPr>
        <w:t>2. ALCANCE</w:t>
      </w:r>
    </w:p>
    <w:p w14:paraId="36B8DC82" w14:textId="73D9BC82" w:rsidR="00F054D8" w:rsidRDefault="00F054D8" w:rsidP="00210B26">
      <w:pPr>
        <w:pStyle w:val="NormalWeb"/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Hlk80710363"/>
      <w:r w:rsidRPr="00F054D8">
        <w:rPr>
          <w:rFonts w:ascii="Arial" w:eastAsia="Calibri" w:hAnsi="Arial" w:cs="Arial"/>
          <w:sz w:val="22"/>
          <w:szCs w:val="22"/>
          <w:lang w:eastAsia="en-US"/>
        </w:rPr>
        <w:t xml:space="preserve">Esta política aplica al Director de Auditoría Interna, al </w:t>
      </w:r>
      <w:r>
        <w:rPr>
          <w:rFonts w:ascii="Arial" w:eastAsia="Calibri" w:hAnsi="Arial" w:cs="Arial"/>
          <w:sz w:val="22"/>
          <w:szCs w:val="22"/>
          <w:lang w:eastAsia="en-US"/>
        </w:rPr>
        <w:t>Jefe de Servicio</w:t>
      </w:r>
      <w:r w:rsidRPr="00F054D8">
        <w:rPr>
          <w:rFonts w:ascii="Arial" w:eastAsia="Calibri" w:hAnsi="Arial" w:cs="Arial"/>
          <w:sz w:val="22"/>
          <w:szCs w:val="22"/>
          <w:lang w:eastAsia="en-US"/>
        </w:rPr>
        <w:t xml:space="preserve"> y a la Alta Dirección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(si corresponde)</w:t>
      </w:r>
      <w:r w:rsidRPr="00F054D8">
        <w:rPr>
          <w:rFonts w:ascii="Arial" w:eastAsia="Calibri" w:hAnsi="Arial" w:cs="Arial"/>
          <w:sz w:val="22"/>
          <w:szCs w:val="22"/>
          <w:lang w:eastAsia="en-US"/>
        </w:rPr>
        <w:t>, quienes comparten la responsabilidad de asegurar la suficiencia de los recursos de la Función de Auditoría Interna, incluyendo recursos humanos, financieros y tecnológicos.</w:t>
      </w:r>
    </w:p>
    <w:p w14:paraId="56566DDC" w14:textId="77777777" w:rsidR="00F054D8" w:rsidRDefault="00F054D8" w:rsidP="00210B26">
      <w:pPr>
        <w:pStyle w:val="NormalWeb"/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ADB640C" w14:textId="6CF0360C" w:rsidR="00434633" w:rsidRPr="00210B26" w:rsidRDefault="00434633" w:rsidP="00210B26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210B26">
        <w:rPr>
          <w:rStyle w:val="Strong"/>
          <w:rFonts w:ascii="Arial" w:hAnsi="Arial" w:cs="Arial"/>
          <w:b w:val="0"/>
          <w:bCs w:val="0"/>
          <w:sz w:val="22"/>
          <w:szCs w:val="22"/>
        </w:rPr>
        <w:t>Para efectos de esta política, el</w:t>
      </w:r>
      <w:r w:rsidRPr="00210B26">
        <w:rPr>
          <w:rFonts w:ascii="Arial" w:hAnsi="Arial" w:cs="Arial"/>
          <w:b/>
          <w:bCs/>
          <w:sz w:val="22"/>
          <w:szCs w:val="22"/>
        </w:rPr>
        <w:t xml:space="preserve"> </w:t>
      </w:r>
      <w:r w:rsidRPr="00210B26">
        <w:rPr>
          <w:rFonts w:ascii="Arial" w:hAnsi="Arial" w:cs="Arial"/>
          <w:sz w:val="22"/>
          <w:szCs w:val="22"/>
        </w:rPr>
        <w:t xml:space="preserve">Consejo de Auditoría Interna General de Gobierno (CAIGG) o el Servicio de Auditoría Interna de Gobierno (SAIG) son reconocidos como la Unidad Central de Armonización (Central </w:t>
      </w:r>
      <w:proofErr w:type="spellStart"/>
      <w:r w:rsidRPr="00210B26">
        <w:rPr>
          <w:rFonts w:ascii="Arial" w:hAnsi="Arial" w:cs="Arial"/>
          <w:sz w:val="22"/>
          <w:szCs w:val="22"/>
        </w:rPr>
        <w:t>Harmonisation</w:t>
      </w:r>
      <w:proofErr w:type="spellEnd"/>
      <w:r w:rsidRPr="00210B2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10B26">
        <w:rPr>
          <w:rFonts w:ascii="Arial" w:hAnsi="Arial" w:cs="Arial"/>
          <w:sz w:val="22"/>
          <w:szCs w:val="22"/>
        </w:rPr>
        <w:t>Unit</w:t>
      </w:r>
      <w:proofErr w:type="spellEnd"/>
      <w:r w:rsidRPr="00210B26">
        <w:rPr>
          <w:rFonts w:ascii="Arial" w:hAnsi="Arial" w:cs="Arial"/>
          <w:sz w:val="22"/>
          <w:szCs w:val="22"/>
        </w:rPr>
        <w:t xml:space="preserve"> - CHU) a nivel gubernamental. Este organismo es responsable de establecer el marco normativo general, definir estándares y desarrollar instrumentos para la gestión de la auditoría interna en el sector público. Asimismo, tiene la función de evaluar la calidad de las disposiciones normativas y metodológicas aplicadas en la auditoría interna, garantizando su efectividad y alineación con las mejores prácticas internacionales.</w:t>
      </w:r>
    </w:p>
    <w:p w14:paraId="3D99E9DD" w14:textId="77777777" w:rsidR="00434633" w:rsidRPr="00210B26" w:rsidRDefault="00434633" w:rsidP="00210B26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54ADA464" w14:textId="77777777" w:rsidR="00434633" w:rsidRPr="00210B26" w:rsidRDefault="00434633" w:rsidP="00210B26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210B26">
        <w:rPr>
          <w:rFonts w:ascii="Arial" w:hAnsi="Arial" w:cs="Arial"/>
          <w:sz w:val="22"/>
          <w:szCs w:val="22"/>
        </w:rPr>
        <w:t>Además, la CHU puede asumir la responsabilidad de dirigir, coordinar, supervisar y evaluar el desempeño de las unidades de auditoría interna de los servicios públicos que dependen o están vinculados al Poder Ejecutivo, asegurando su eficiencia y cumplimiento normativo.</w:t>
      </w:r>
    </w:p>
    <w:p w14:paraId="45FD8EAA" w14:textId="77777777" w:rsidR="00F054D8" w:rsidRDefault="00F054D8" w:rsidP="00210B26">
      <w:pPr>
        <w:jc w:val="both"/>
        <w:rPr>
          <w:rFonts w:ascii="Arial" w:eastAsia="Calibri" w:hAnsi="Arial" w:cs="Arial"/>
        </w:rPr>
      </w:pPr>
      <w:bookmarkStart w:id="1" w:name="_Hlk80710385"/>
      <w:bookmarkEnd w:id="0"/>
    </w:p>
    <w:p w14:paraId="1249DC2A" w14:textId="59BD15E3" w:rsidR="00D22867" w:rsidRPr="00210B26" w:rsidRDefault="00D22867" w:rsidP="00210B26">
      <w:pPr>
        <w:jc w:val="both"/>
        <w:rPr>
          <w:rFonts w:ascii="Arial" w:eastAsia="Calibri" w:hAnsi="Arial" w:cs="Arial"/>
        </w:rPr>
      </w:pPr>
      <w:r w:rsidRPr="00210B26">
        <w:rPr>
          <w:rFonts w:ascii="Arial" w:eastAsia="Calibri" w:hAnsi="Arial" w:cs="Arial"/>
        </w:rPr>
        <w:t>A esta política, estarán subordinad</w:t>
      </w:r>
      <w:r w:rsidR="001647B2" w:rsidRPr="00210B26">
        <w:rPr>
          <w:rFonts w:ascii="Arial" w:eastAsia="Calibri" w:hAnsi="Arial" w:cs="Arial"/>
        </w:rPr>
        <w:t>a</w:t>
      </w:r>
      <w:r w:rsidRPr="00210B26">
        <w:rPr>
          <w:rFonts w:ascii="Arial" w:eastAsia="Calibri" w:hAnsi="Arial" w:cs="Arial"/>
        </w:rPr>
        <w:t xml:space="preserve">s </w:t>
      </w:r>
      <w:r w:rsidR="001647B2" w:rsidRPr="00210B26">
        <w:rPr>
          <w:rFonts w:ascii="Arial" w:eastAsia="Calibri" w:hAnsi="Arial" w:cs="Arial"/>
        </w:rPr>
        <w:t xml:space="preserve">todas </w:t>
      </w:r>
      <w:r w:rsidRPr="00210B26">
        <w:rPr>
          <w:rFonts w:ascii="Arial" w:eastAsia="Calibri" w:hAnsi="Arial" w:cs="Arial"/>
        </w:rPr>
        <w:t xml:space="preserve">las metodologías, procedimientos y prácticas que sean formalizadas para su implementación en la </w:t>
      </w:r>
      <w:r w:rsidR="001C2E8B" w:rsidRPr="00210B26">
        <w:rPr>
          <w:rFonts w:ascii="Arial" w:hAnsi="Arial" w:cs="Arial"/>
        </w:rPr>
        <w:t>función</w:t>
      </w:r>
      <w:r w:rsidRPr="00210B26">
        <w:rPr>
          <w:rFonts w:ascii="Arial" w:hAnsi="Arial" w:cs="Arial"/>
        </w:rPr>
        <w:t xml:space="preserve"> de auditoría interna</w:t>
      </w:r>
      <w:r w:rsidRPr="00210B26">
        <w:rPr>
          <w:rFonts w:ascii="Arial" w:eastAsia="Calibri" w:hAnsi="Arial" w:cs="Arial"/>
        </w:rPr>
        <w:t xml:space="preserve"> del Servicio.</w:t>
      </w:r>
    </w:p>
    <w:bookmarkEnd w:id="1"/>
    <w:p w14:paraId="110064C8" w14:textId="77777777" w:rsidR="000958FB" w:rsidRDefault="000958FB" w:rsidP="000958FB">
      <w:pPr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3. RESPONSABILIDADES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5885"/>
      </w:tblGrid>
      <w:tr w:rsidR="002F0244" w14:paraId="3FF2F13F" w14:textId="77777777" w:rsidTr="00D22867">
        <w:tc>
          <w:tcPr>
            <w:tcW w:w="2943" w:type="dxa"/>
            <w:shd w:val="clear" w:color="auto" w:fill="0070C0"/>
          </w:tcPr>
          <w:p w14:paraId="572709F2" w14:textId="26091809" w:rsidR="002F0244" w:rsidRPr="00D22867" w:rsidRDefault="002F0244" w:rsidP="00D22867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r w:rsidRPr="00D22867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Cargo</w:t>
            </w:r>
          </w:p>
        </w:tc>
        <w:tc>
          <w:tcPr>
            <w:tcW w:w="5885" w:type="dxa"/>
            <w:shd w:val="clear" w:color="auto" w:fill="0070C0"/>
          </w:tcPr>
          <w:p w14:paraId="0FB57916" w14:textId="032C4AF0" w:rsidR="002F0244" w:rsidRPr="00D22867" w:rsidRDefault="002F0244" w:rsidP="00D22867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r w:rsidRPr="00D22867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Descripción</w:t>
            </w:r>
          </w:p>
        </w:tc>
      </w:tr>
      <w:tr w:rsidR="00F71EB8" w:rsidRPr="00210B26" w14:paraId="07A92EAB" w14:textId="77777777" w:rsidTr="00456570">
        <w:tc>
          <w:tcPr>
            <w:tcW w:w="2943" w:type="dxa"/>
            <w:vAlign w:val="center"/>
          </w:tcPr>
          <w:p w14:paraId="6938B66B" w14:textId="0F57C701" w:rsidR="00F71EB8" w:rsidRPr="00210B26" w:rsidRDefault="00F71EB8" w:rsidP="00F71EB8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210B26">
              <w:rPr>
                <w:rFonts w:ascii="Arial" w:eastAsia="Calibri" w:hAnsi="Arial" w:cs="Arial"/>
                <w:b/>
                <w:bCs/>
              </w:rPr>
              <w:t>Jefe de Servicio</w:t>
            </w:r>
          </w:p>
        </w:tc>
        <w:tc>
          <w:tcPr>
            <w:tcW w:w="5885" w:type="dxa"/>
          </w:tcPr>
          <w:p w14:paraId="3FBB188A" w14:textId="28A4AF40" w:rsidR="00F71EB8" w:rsidRPr="007A6763" w:rsidRDefault="00F71EB8" w:rsidP="00F71EB8">
            <w:pPr>
              <w:pStyle w:val="ListParagraph"/>
              <w:numPr>
                <w:ilvl w:val="0"/>
                <w:numId w:val="24"/>
              </w:numPr>
              <w:ind w:left="463"/>
              <w:jc w:val="both"/>
              <w:rPr>
                <w:rFonts w:ascii="Arial" w:eastAsia="Calibri" w:hAnsi="Arial" w:cs="Arial"/>
                <w:bCs/>
              </w:rPr>
            </w:pPr>
            <w:proofErr w:type="gramStart"/>
            <w:r w:rsidRPr="00427073">
              <w:rPr>
                <w:rFonts w:ascii="Arial" w:eastAsia="Calibri" w:hAnsi="Arial" w:cs="Arial"/>
                <w:bCs/>
              </w:rPr>
              <w:t>De acuerdo a</w:t>
            </w:r>
            <w:proofErr w:type="gramEnd"/>
            <w:r w:rsidRPr="00427073">
              <w:rPr>
                <w:rFonts w:ascii="Arial" w:eastAsia="Calibri" w:hAnsi="Arial" w:cs="Arial"/>
                <w:bCs/>
              </w:rPr>
              <w:t xml:space="preserve"> lo definido en las Declaraciones de la Política.</w:t>
            </w:r>
          </w:p>
        </w:tc>
      </w:tr>
      <w:tr w:rsidR="00F71EB8" w:rsidRPr="00210B26" w14:paraId="76004939" w14:textId="77777777" w:rsidTr="00456570">
        <w:tc>
          <w:tcPr>
            <w:tcW w:w="2943" w:type="dxa"/>
            <w:vAlign w:val="center"/>
          </w:tcPr>
          <w:p w14:paraId="661DD6D3" w14:textId="3D2A2158" w:rsidR="00F71EB8" w:rsidRPr="00210B26" w:rsidRDefault="00F71EB8" w:rsidP="00F71EB8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Alta Dirección</w:t>
            </w:r>
          </w:p>
        </w:tc>
        <w:tc>
          <w:tcPr>
            <w:tcW w:w="5885" w:type="dxa"/>
          </w:tcPr>
          <w:p w14:paraId="21C74DCC" w14:textId="51BDCEBB" w:rsidR="00F71EB8" w:rsidRPr="007A6763" w:rsidRDefault="00F71EB8" w:rsidP="00F71EB8">
            <w:pPr>
              <w:pStyle w:val="ListParagraph"/>
              <w:numPr>
                <w:ilvl w:val="0"/>
                <w:numId w:val="24"/>
              </w:numPr>
              <w:ind w:left="463"/>
              <w:jc w:val="both"/>
              <w:rPr>
                <w:rFonts w:ascii="Arial" w:eastAsia="Calibri" w:hAnsi="Arial" w:cs="Arial"/>
                <w:bCs/>
              </w:rPr>
            </w:pPr>
            <w:proofErr w:type="gramStart"/>
            <w:r w:rsidRPr="00427073">
              <w:rPr>
                <w:rFonts w:ascii="Arial" w:eastAsia="Calibri" w:hAnsi="Arial" w:cs="Arial"/>
                <w:bCs/>
              </w:rPr>
              <w:t>De acuerdo a</w:t>
            </w:r>
            <w:proofErr w:type="gramEnd"/>
            <w:r w:rsidRPr="00427073">
              <w:rPr>
                <w:rFonts w:ascii="Arial" w:eastAsia="Calibri" w:hAnsi="Arial" w:cs="Arial"/>
                <w:bCs/>
              </w:rPr>
              <w:t xml:space="preserve"> lo definido en las Declaraciones de la Política.</w:t>
            </w:r>
          </w:p>
        </w:tc>
      </w:tr>
      <w:tr w:rsidR="00F71EB8" w:rsidRPr="00210B26" w14:paraId="1B37A8EB" w14:textId="77777777" w:rsidTr="00456570">
        <w:tc>
          <w:tcPr>
            <w:tcW w:w="2943" w:type="dxa"/>
            <w:vAlign w:val="center"/>
          </w:tcPr>
          <w:p w14:paraId="7C263ED5" w14:textId="1CAF1BEA" w:rsidR="00F71EB8" w:rsidRPr="00210B26" w:rsidRDefault="00F71EB8" w:rsidP="00F71EB8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210B26">
              <w:rPr>
                <w:rFonts w:ascii="Arial" w:eastAsia="Calibri" w:hAnsi="Arial" w:cs="Arial"/>
                <w:b/>
                <w:bCs/>
              </w:rPr>
              <w:t>Jefe de Auditoría</w:t>
            </w:r>
          </w:p>
        </w:tc>
        <w:tc>
          <w:tcPr>
            <w:tcW w:w="5885" w:type="dxa"/>
          </w:tcPr>
          <w:p w14:paraId="624564C4" w14:textId="0DAFC248" w:rsidR="00F71EB8" w:rsidRPr="007A6763" w:rsidRDefault="00F71EB8" w:rsidP="00A7000E">
            <w:pPr>
              <w:pStyle w:val="ListParagraph"/>
              <w:numPr>
                <w:ilvl w:val="0"/>
                <w:numId w:val="24"/>
              </w:numPr>
              <w:ind w:left="463"/>
              <w:jc w:val="both"/>
              <w:rPr>
                <w:rFonts w:ascii="Arial" w:eastAsia="Calibri" w:hAnsi="Arial" w:cs="Arial"/>
                <w:bCs/>
              </w:rPr>
            </w:pPr>
            <w:proofErr w:type="gramStart"/>
            <w:r w:rsidRPr="00427073">
              <w:rPr>
                <w:rFonts w:ascii="Arial" w:eastAsia="Calibri" w:hAnsi="Arial" w:cs="Arial"/>
                <w:bCs/>
              </w:rPr>
              <w:t>De acuerdo a</w:t>
            </w:r>
            <w:proofErr w:type="gramEnd"/>
            <w:r w:rsidRPr="00427073">
              <w:rPr>
                <w:rFonts w:ascii="Arial" w:eastAsia="Calibri" w:hAnsi="Arial" w:cs="Arial"/>
                <w:bCs/>
              </w:rPr>
              <w:t xml:space="preserve"> lo definido en las Declaraciones de la Política.</w:t>
            </w:r>
          </w:p>
        </w:tc>
      </w:tr>
      <w:tr w:rsidR="00994DED" w:rsidRPr="00210B26" w14:paraId="470A2153" w14:textId="77777777" w:rsidTr="00456570">
        <w:tc>
          <w:tcPr>
            <w:tcW w:w="2943" w:type="dxa"/>
            <w:vAlign w:val="center"/>
          </w:tcPr>
          <w:p w14:paraId="0405FFCE" w14:textId="77777777" w:rsidR="00994DED" w:rsidRPr="00210B26" w:rsidRDefault="00994DED" w:rsidP="00994DED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210B26">
              <w:rPr>
                <w:rFonts w:ascii="Arial" w:eastAsia="Calibri" w:hAnsi="Arial" w:cs="Arial"/>
                <w:b/>
                <w:bCs/>
              </w:rPr>
              <w:t>Supervisor</w:t>
            </w:r>
          </w:p>
        </w:tc>
        <w:tc>
          <w:tcPr>
            <w:tcW w:w="5885" w:type="dxa"/>
          </w:tcPr>
          <w:p w14:paraId="7CE91908" w14:textId="77777777" w:rsidR="006B08F4" w:rsidRPr="006B08F4" w:rsidRDefault="006B08F4" w:rsidP="00A7000E">
            <w:pPr>
              <w:pStyle w:val="ListParagraph"/>
              <w:numPr>
                <w:ilvl w:val="0"/>
                <w:numId w:val="24"/>
              </w:numPr>
              <w:ind w:left="463"/>
              <w:jc w:val="both"/>
              <w:rPr>
                <w:rFonts w:ascii="Arial" w:eastAsia="Calibri" w:hAnsi="Arial" w:cs="Arial"/>
                <w:bCs/>
              </w:rPr>
            </w:pPr>
            <w:r w:rsidRPr="006B08F4">
              <w:rPr>
                <w:rFonts w:ascii="Arial" w:eastAsia="Calibri" w:hAnsi="Arial" w:cs="Arial"/>
                <w:bCs/>
              </w:rPr>
              <w:t>Supervisa el desempeño de los auditores internos en la ejecución de las auditorías.</w:t>
            </w:r>
          </w:p>
          <w:p w14:paraId="1572469D" w14:textId="77777777" w:rsidR="006B08F4" w:rsidRPr="006B08F4" w:rsidRDefault="006B08F4" w:rsidP="00A7000E">
            <w:pPr>
              <w:pStyle w:val="ListParagraph"/>
              <w:numPr>
                <w:ilvl w:val="0"/>
                <w:numId w:val="24"/>
              </w:numPr>
              <w:ind w:left="463"/>
              <w:jc w:val="both"/>
              <w:rPr>
                <w:rFonts w:ascii="Arial" w:eastAsia="Calibri" w:hAnsi="Arial" w:cs="Arial"/>
                <w:bCs/>
              </w:rPr>
            </w:pPr>
            <w:r w:rsidRPr="006B08F4">
              <w:rPr>
                <w:rFonts w:ascii="Arial" w:eastAsia="Calibri" w:hAnsi="Arial" w:cs="Arial"/>
                <w:bCs/>
              </w:rPr>
              <w:t>Verifica la correcta utilización de los recursos asignados.</w:t>
            </w:r>
          </w:p>
          <w:p w14:paraId="75332B1E" w14:textId="5C0BAE81" w:rsidR="00994DED" w:rsidRPr="007A6763" w:rsidRDefault="006B08F4" w:rsidP="00A7000E">
            <w:pPr>
              <w:pStyle w:val="ListParagraph"/>
              <w:numPr>
                <w:ilvl w:val="0"/>
                <w:numId w:val="24"/>
              </w:numPr>
              <w:ind w:left="463"/>
              <w:jc w:val="both"/>
              <w:rPr>
                <w:rFonts w:ascii="Arial" w:eastAsia="Calibri" w:hAnsi="Arial" w:cs="Arial"/>
                <w:bCs/>
              </w:rPr>
            </w:pPr>
            <w:r w:rsidRPr="006B08F4">
              <w:rPr>
                <w:rFonts w:ascii="Arial" w:eastAsia="Calibri" w:hAnsi="Arial" w:cs="Arial"/>
                <w:bCs/>
              </w:rPr>
              <w:t>Identifica oportunidades de mejora en la gestión de recursos humanos y tecnológicos.</w:t>
            </w:r>
          </w:p>
        </w:tc>
      </w:tr>
      <w:tr w:rsidR="00994DED" w:rsidRPr="00210B26" w14:paraId="12B06E9C" w14:textId="77777777" w:rsidTr="00456570">
        <w:tc>
          <w:tcPr>
            <w:tcW w:w="2943" w:type="dxa"/>
            <w:vAlign w:val="center"/>
          </w:tcPr>
          <w:p w14:paraId="6AAD37B4" w14:textId="30B2E7C6" w:rsidR="00994DED" w:rsidRPr="00210B26" w:rsidRDefault="00994DED" w:rsidP="00994DED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210B26">
              <w:rPr>
                <w:rFonts w:ascii="Arial" w:eastAsia="Calibri" w:hAnsi="Arial" w:cs="Arial"/>
                <w:b/>
                <w:bCs/>
              </w:rPr>
              <w:t>Auditor Interno</w:t>
            </w:r>
          </w:p>
        </w:tc>
        <w:tc>
          <w:tcPr>
            <w:tcW w:w="5885" w:type="dxa"/>
          </w:tcPr>
          <w:p w14:paraId="31B1FF34" w14:textId="77777777" w:rsidR="00A7000E" w:rsidRPr="00A7000E" w:rsidRDefault="00A7000E" w:rsidP="00A7000E">
            <w:pPr>
              <w:pStyle w:val="ListParagraph"/>
              <w:numPr>
                <w:ilvl w:val="0"/>
                <w:numId w:val="24"/>
              </w:numPr>
              <w:ind w:left="463"/>
              <w:jc w:val="both"/>
              <w:rPr>
                <w:rFonts w:ascii="Arial" w:eastAsia="Calibri" w:hAnsi="Arial" w:cs="Arial"/>
                <w:bCs/>
              </w:rPr>
            </w:pPr>
            <w:r w:rsidRPr="00A7000E">
              <w:rPr>
                <w:rFonts w:ascii="Arial" w:eastAsia="Calibri" w:hAnsi="Arial" w:cs="Arial"/>
                <w:bCs/>
              </w:rPr>
              <w:t>Cumple con sus responsabilidades empleando eficientemente los recursos proporcionados.</w:t>
            </w:r>
          </w:p>
          <w:p w14:paraId="149835C0" w14:textId="77777777" w:rsidR="00A7000E" w:rsidRPr="00A7000E" w:rsidRDefault="00A7000E" w:rsidP="00A7000E">
            <w:pPr>
              <w:pStyle w:val="ListParagraph"/>
              <w:numPr>
                <w:ilvl w:val="0"/>
                <w:numId w:val="24"/>
              </w:numPr>
              <w:ind w:left="463"/>
              <w:jc w:val="both"/>
              <w:rPr>
                <w:rFonts w:ascii="Arial" w:eastAsia="Calibri" w:hAnsi="Arial" w:cs="Arial"/>
                <w:bCs/>
              </w:rPr>
            </w:pPr>
            <w:r w:rsidRPr="00A7000E">
              <w:rPr>
                <w:rFonts w:ascii="Arial" w:eastAsia="Calibri" w:hAnsi="Arial" w:cs="Arial"/>
                <w:bCs/>
              </w:rPr>
              <w:lastRenderedPageBreak/>
              <w:t>Reporta cualquier limitación de recursos que afecte la ejecución de las auditorías.</w:t>
            </w:r>
          </w:p>
          <w:p w14:paraId="123EEA55" w14:textId="3E11139E" w:rsidR="00994DED" w:rsidRPr="007A6763" w:rsidRDefault="00A7000E" w:rsidP="00A7000E">
            <w:pPr>
              <w:pStyle w:val="ListParagraph"/>
              <w:numPr>
                <w:ilvl w:val="0"/>
                <w:numId w:val="24"/>
              </w:numPr>
              <w:ind w:left="463"/>
              <w:jc w:val="both"/>
              <w:rPr>
                <w:rFonts w:ascii="Arial" w:eastAsia="Calibri" w:hAnsi="Arial" w:cs="Arial"/>
                <w:bCs/>
              </w:rPr>
            </w:pPr>
            <w:r w:rsidRPr="00A7000E">
              <w:rPr>
                <w:rFonts w:ascii="Arial" w:eastAsia="Calibri" w:hAnsi="Arial" w:cs="Arial"/>
                <w:bCs/>
              </w:rPr>
              <w:t>Participa en programas de formación y actualización profesional</w:t>
            </w:r>
            <w:r w:rsidR="007A6763" w:rsidRPr="007A6763">
              <w:rPr>
                <w:rFonts w:ascii="Arial" w:eastAsia="Calibri" w:hAnsi="Arial" w:cs="Arial"/>
                <w:bCs/>
              </w:rPr>
              <w:t>.</w:t>
            </w:r>
          </w:p>
        </w:tc>
      </w:tr>
    </w:tbl>
    <w:p w14:paraId="069777CC" w14:textId="77777777" w:rsidR="00D02883" w:rsidRDefault="00D02883" w:rsidP="00451669">
      <w:pPr>
        <w:jc w:val="both"/>
        <w:rPr>
          <w:rFonts w:ascii="Arial" w:eastAsia="Calibri" w:hAnsi="Arial" w:cs="Arial"/>
          <w:b/>
          <w:bCs/>
        </w:rPr>
      </w:pPr>
    </w:p>
    <w:p w14:paraId="37FAC476" w14:textId="6E99351C" w:rsidR="00451669" w:rsidRPr="00210B26" w:rsidRDefault="000958FB" w:rsidP="00451669">
      <w:pPr>
        <w:jc w:val="both"/>
        <w:rPr>
          <w:rFonts w:ascii="Arial" w:eastAsia="Calibri" w:hAnsi="Arial" w:cs="Arial"/>
          <w:b/>
          <w:bCs/>
        </w:rPr>
      </w:pPr>
      <w:r w:rsidRPr="00210B26">
        <w:rPr>
          <w:rFonts w:ascii="Arial" w:eastAsia="Calibri" w:hAnsi="Arial" w:cs="Arial"/>
          <w:b/>
          <w:bCs/>
        </w:rPr>
        <w:t>4</w:t>
      </w:r>
      <w:r w:rsidR="00451669" w:rsidRPr="00210B26">
        <w:rPr>
          <w:rFonts w:ascii="Arial" w:eastAsia="Calibri" w:hAnsi="Arial" w:cs="Arial"/>
          <w:b/>
          <w:bCs/>
        </w:rPr>
        <w:t>. DECLARACIONES DE LA POLÍTICA</w:t>
      </w:r>
    </w:p>
    <w:p w14:paraId="710F4E1D" w14:textId="77777777" w:rsidR="00516EDA" w:rsidRDefault="0054097F" w:rsidP="00516EDA">
      <w:pPr>
        <w:jc w:val="both"/>
        <w:rPr>
          <w:rFonts w:ascii="Arial" w:eastAsia="Calibri" w:hAnsi="Arial" w:cs="Arial"/>
        </w:rPr>
      </w:pPr>
      <w:r w:rsidRPr="00210B26">
        <w:rPr>
          <w:rFonts w:ascii="Arial" w:eastAsia="Calibri" w:hAnsi="Arial" w:cs="Arial"/>
          <w:b/>
          <w:bCs/>
        </w:rPr>
        <w:t>4.1. PRINCIPIOS RECTORES</w:t>
      </w:r>
    </w:p>
    <w:p w14:paraId="69EBF159" w14:textId="26264285" w:rsidR="00516EDA" w:rsidRPr="00516EDA" w:rsidRDefault="00516EDA" w:rsidP="00516EDA">
      <w:pPr>
        <w:pStyle w:val="ListParagraph"/>
        <w:numPr>
          <w:ilvl w:val="0"/>
          <w:numId w:val="20"/>
        </w:numPr>
        <w:jc w:val="both"/>
        <w:rPr>
          <w:rFonts w:ascii="Arial" w:eastAsia="Calibri" w:hAnsi="Arial" w:cs="Arial"/>
        </w:rPr>
      </w:pPr>
      <w:r w:rsidRPr="00516EDA">
        <w:rPr>
          <w:rFonts w:ascii="Arial" w:eastAsia="Calibri" w:hAnsi="Arial" w:cs="Arial"/>
          <w:b/>
          <w:bCs/>
        </w:rPr>
        <w:t>Suficiencia de Recursos:</w:t>
      </w:r>
      <w:r w:rsidRPr="00516EDA">
        <w:rPr>
          <w:rFonts w:ascii="Arial" w:eastAsia="Calibri" w:hAnsi="Arial" w:cs="Arial"/>
        </w:rPr>
        <w:t xml:space="preserve"> Garantizar que la Función de Auditoría Interna cuente con los recursos adecuados para cumplir su mandato y objetivos estratégicos. </w:t>
      </w:r>
    </w:p>
    <w:p w14:paraId="1B96E243" w14:textId="24D2BDA9" w:rsidR="00516EDA" w:rsidRPr="00516EDA" w:rsidRDefault="00516EDA" w:rsidP="00516EDA">
      <w:pPr>
        <w:pStyle w:val="ListParagraph"/>
        <w:numPr>
          <w:ilvl w:val="0"/>
          <w:numId w:val="20"/>
        </w:numPr>
        <w:jc w:val="both"/>
        <w:rPr>
          <w:rFonts w:ascii="Arial" w:eastAsia="Calibri" w:hAnsi="Arial" w:cs="Arial"/>
        </w:rPr>
      </w:pPr>
      <w:r w:rsidRPr="00516EDA">
        <w:rPr>
          <w:rFonts w:ascii="Arial" w:eastAsia="Calibri" w:hAnsi="Arial" w:cs="Arial"/>
          <w:b/>
          <w:bCs/>
        </w:rPr>
        <w:t>Eficiencia y Transparencia:</w:t>
      </w:r>
      <w:r w:rsidRPr="00516EDA">
        <w:rPr>
          <w:rFonts w:ascii="Arial" w:eastAsia="Calibri" w:hAnsi="Arial" w:cs="Arial"/>
        </w:rPr>
        <w:t xml:space="preserve"> Asegurar una gestión óptima de los recursos, en concordancia con el presupuesto y las necesidades de la organización. </w:t>
      </w:r>
    </w:p>
    <w:p w14:paraId="0672F2A5" w14:textId="43C2D1F6" w:rsidR="00516EDA" w:rsidRPr="00516EDA" w:rsidRDefault="00516EDA" w:rsidP="00516EDA">
      <w:pPr>
        <w:pStyle w:val="ListParagraph"/>
        <w:numPr>
          <w:ilvl w:val="0"/>
          <w:numId w:val="20"/>
        </w:numPr>
        <w:jc w:val="both"/>
        <w:rPr>
          <w:rFonts w:ascii="Arial" w:eastAsia="Calibri" w:hAnsi="Arial" w:cs="Arial"/>
        </w:rPr>
      </w:pPr>
      <w:r w:rsidRPr="00516EDA">
        <w:rPr>
          <w:rFonts w:ascii="Arial" w:eastAsia="Calibri" w:hAnsi="Arial" w:cs="Arial"/>
          <w:b/>
          <w:bCs/>
        </w:rPr>
        <w:t>Desarrollo y Capacitación:</w:t>
      </w:r>
      <w:r w:rsidRPr="00516EDA">
        <w:rPr>
          <w:rFonts w:ascii="Arial" w:eastAsia="Calibri" w:hAnsi="Arial" w:cs="Arial"/>
        </w:rPr>
        <w:t xml:space="preserve"> Mantener un equipo de auditoría con competencias adecuadas mediante programas de formación continua. </w:t>
      </w:r>
    </w:p>
    <w:p w14:paraId="02D3504E" w14:textId="23FDB4D8" w:rsidR="00516EDA" w:rsidRPr="00516EDA" w:rsidRDefault="00516EDA" w:rsidP="00516EDA">
      <w:pPr>
        <w:pStyle w:val="ListParagraph"/>
        <w:numPr>
          <w:ilvl w:val="0"/>
          <w:numId w:val="20"/>
        </w:numPr>
        <w:jc w:val="both"/>
        <w:rPr>
          <w:rFonts w:ascii="Arial" w:eastAsia="Calibri" w:hAnsi="Arial" w:cs="Arial"/>
        </w:rPr>
      </w:pPr>
      <w:r w:rsidRPr="00516EDA">
        <w:rPr>
          <w:rFonts w:ascii="Arial" w:eastAsia="Calibri" w:hAnsi="Arial" w:cs="Arial"/>
          <w:b/>
          <w:bCs/>
        </w:rPr>
        <w:t>Innovación y Tecnología:</w:t>
      </w:r>
      <w:r w:rsidRPr="00516EDA">
        <w:rPr>
          <w:rFonts w:ascii="Arial" w:eastAsia="Calibri" w:hAnsi="Arial" w:cs="Arial"/>
        </w:rPr>
        <w:t xml:space="preserve"> Incorporar herramientas tecnológicas que optimicen los procesos de auditoría interna. </w:t>
      </w:r>
    </w:p>
    <w:p w14:paraId="544EE069" w14:textId="77777777" w:rsidR="00824BAF" w:rsidRPr="00824BAF" w:rsidRDefault="00516EDA" w:rsidP="00C6558E">
      <w:pPr>
        <w:pStyle w:val="ListParagraph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824BAF">
        <w:rPr>
          <w:rFonts w:ascii="Arial" w:eastAsia="Calibri" w:hAnsi="Arial" w:cs="Arial"/>
          <w:b/>
          <w:bCs/>
        </w:rPr>
        <w:t>Rendición de Cuentas:</w:t>
      </w:r>
      <w:r w:rsidRPr="00824BAF">
        <w:rPr>
          <w:rFonts w:ascii="Arial" w:eastAsia="Calibri" w:hAnsi="Arial" w:cs="Arial"/>
        </w:rPr>
        <w:t xml:space="preserve"> Implementar mecanismos de supervisión y reporte periódico sobre el uso de los recursos.</w:t>
      </w:r>
    </w:p>
    <w:p w14:paraId="136FD737" w14:textId="52EFCB16" w:rsidR="00824BAF" w:rsidRPr="00824BAF" w:rsidRDefault="00824BAF" w:rsidP="00C6558E">
      <w:pPr>
        <w:pStyle w:val="ListParagraph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824BAF">
        <w:rPr>
          <w:rFonts w:ascii="Arial" w:hAnsi="Arial" w:cs="Arial"/>
          <w:b/>
          <w:bCs/>
        </w:rPr>
        <w:t>Cumplimiento de Condiciones Esenciales:</w:t>
      </w:r>
      <w:r w:rsidRPr="00824BAF">
        <w:rPr>
          <w:rFonts w:ascii="Arial" w:hAnsi="Arial" w:cs="Arial"/>
        </w:rPr>
        <w:t xml:space="preserve"> La organización debe cumplir con las condiciones esenciales establecidas en el Dominio III de las Normas Globales de Auditoría Interna, salvo que se definan y justifiquen medidas alternativas que cumplan con los mismos objetivos.</w:t>
      </w:r>
    </w:p>
    <w:p w14:paraId="6CC9DE6A" w14:textId="77777777" w:rsidR="00824BAF" w:rsidRPr="00516EDA" w:rsidRDefault="00824BAF" w:rsidP="00824BAF">
      <w:pPr>
        <w:pStyle w:val="ListParagraph"/>
        <w:jc w:val="both"/>
        <w:rPr>
          <w:rFonts w:ascii="Arial" w:eastAsia="Calibri" w:hAnsi="Arial" w:cs="Arial"/>
        </w:rPr>
      </w:pPr>
    </w:p>
    <w:p w14:paraId="462A62F9" w14:textId="51FE84EC" w:rsidR="0054097F" w:rsidRDefault="00B052F7" w:rsidP="00516EDA">
      <w:pPr>
        <w:jc w:val="both"/>
        <w:rPr>
          <w:rStyle w:val="Strong"/>
          <w:rFonts w:ascii="Arial" w:hAnsi="Arial" w:cs="Arial"/>
        </w:rPr>
      </w:pPr>
      <w:r w:rsidRPr="00210B26">
        <w:rPr>
          <w:rStyle w:val="Strong"/>
          <w:rFonts w:ascii="Arial" w:hAnsi="Arial" w:cs="Arial"/>
        </w:rPr>
        <w:t>4.2. LINEAMIENTOS FUNDAMENTALES</w:t>
      </w:r>
    </w:p>
    <w:p w14:paraId="74FF6BFB" w14:textId="77777777" w:rsidR="00D81585" w:rsidRDefault="00D81585" w:rsidP="00D81585">
      <w:pPr>
        <w:pStyle w:val="NormalWeb"/>
        <w:spacing w:before="0" w:beforeAutospacing="0" w:after="0" w:afterAutospacing="0"/>
        <w:ind w:left="720"/>
        <w:jc w:val="both"/>
        <w:rPr>
          <w:rFonts w:ascii="Arial" w:hAnsi="Arial" w:cs="Arial"/>
          <w:sz w:val="22"/>
          <w:szCs w:val="22"/>
        </w:rPr>
      </w:pPr>
    </w:p>
    <w:p w14:paraId="05DE7054" w14:textId="77777777" w:rsidR="00D81585" w:rsidRPr="00D3589C" w:rsidRDefault="00D81585" w:rsidP="00D81585">
      <w:pPr>
        <w:pStyle w:val="NormalWeb"/>
        <w:spacing w:before="0" w:beforeAutospacing="0" w:after="0" w:afterAutospacing="0"/>
        <w:jc w:val="both"/>
        <w:rPr>
          <w:rStyle w:val="Strong"/>
          <w:rFonts w:ascii="Arial" w:hAnsi="Arial" w:cs="Arial"/>
          <w:b w:val="0"/>
          <w:bCs w:val="0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a.  Rol</w:t>
      </w:r>
      <w:r w:rsidRPr="00D3589C">
        <w:rPr>
          <w:rStyle w:val="Strong"/>
          <w:rFonts w:ascii="Arial" w:hAnsi="Arial" w:cs="Arial"/>
          <w:sz w:val="22"/>
          <w:szCs w:val="22"/>
        </w:rPr>
        <w:t xml:space="preserve"> del Jefe de Servicio</w:t>
      </w:r>
    </w:p>
    <w:p w14:paraId="663AAA63" w14:textId="05110A75" w:rsidR="0040637B" w:rsidRPr="00503BDC" w:rsidRDefault="0040637B" w:rsidP="0040637B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lang w:eastAsia="es-CL"/>
        </w:rPr>
      </w:pPr>
      <w:r w:rsidRPr="00503BDC">
        <w:rPr>
          <w:rFonts w:ascii="Arial" w:eastAsia="Times New Roman" w:hAnsi="Arial" w:cs="Arial"/>
          <w:lang w:eastAsia="es-CL"/>
        </w:rPr>
        <w:t>Colaborar con la Alta Dirección</w:t>
      </w:r>
      <w:r w:rsidR="00824BAF">
        <w:rPr>
          <w:rFonts w:ascii="Arial" w:eastAsia="Times New Roman" w:hAnsi="Arial" w:cs="Arial"/>
          <w:lang w:eastAsia="es-CL"/>
        </w:rPr>
        <w:t xml:space="preserve"> (cuando corresponda)</w:t>
      </w:r>
      <w:r w:rsidRPr="00503BDC">
        <w:rPr>
          <w:rFonts w:ascii="Arial" w:eastAsia="Times New Roman" w:hAnsi="Arial" w:cs="Arial"/>
          <w:lang w:eastAsia="es-CL"/>
        </w:rPr>
        <w:t xml:space="preserve"> para asegurar la asignación de recursos suficientes a la Función de Auditoría Interna.</w:t>
      </w:r>
    </w:p>
    <w:p w14:paraId="73A781B0" w14:textId="77777777" w:rsidR="0040637B" w:rsidRPr="00503BDC" w:rsidRDefault="0040637B" w:rsidP="0040637B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lang w:eastAsia="es-CL"/>
        </w:rPr>
      </w:pPr>
      <w:r w:rsidRPr="00503BDC">
        <w:rPr>
          <w:rFonts w:ascii="Arial" w:eastAsia="Times New Roman" w:hAnsi="Arial" w:cs="Arial"/>
          <w:lang w:eastAsia="es-CL"/>
        </w:rPr>
        <w:t>Evaluar la suficiencia de los recursos de Auditoría Interna en cuanto a cantidad y capacidades.</w:t>
      </w:r>
    </w:p>
    <w:p w14:paraId="7C272216" w14:textId="77777777" w:rsidR="0040637B" w:rsidRPr="00503BDC" w:rsidRDefault="0040637B" w:rsidP="0040637B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lang w:eastAsia="es-CL"/>
        </w:rPr>
      </w:pPr>
      <w:r w:rsidRPr="00503BDC">
        <w:rPr>
          <w:rFonts w:ascii="Arial" w:eastAsia="Times New Roman" w:hAnsi="Arial" w:cs="Arial"/>
          <w:lang w:eastAsia="es-CL"/>
        </w:rPr>
        <w:t>Considerar el impacto de la limitación de recursos en el cumplimiento del Mandato y del Plan de Auditoría Interna.</w:t>
      </w:r>
    </w:p>
    <w:p w14:paraId="06ED21AA" w14:textId="78C0C030" w:rsidR="0040637B" w:rsidRDefault="0040637B" w:rsidP="00B9588A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lang w:eastAsia="es-CL"/>
        </w:rPr>
      </w:pPr>
      <w:r w:rsidRPr="00503BDC">
        <w:rPr>
          <w:rFonts w:ascii="Arial" w:eastAsia="Times New Roman" w:hAnsi="Arial" w:cs="Arial"/>
          <w:lang w:eastAsia="es-CL"/>
        </w:rPr>
        <w:t xml:space="preserve">Interactuar con la Alta Dirección </w:t>
      </w:r>
      <w:r w:rsidR="00824BAF">
        <w:rPr>
          <w:rFonts w:ascii="Arial" w:eastAsia="Times New Roman" w:hAnsi="Arial" w:cs="Arial"/>
          <w:lang w:eastAsia="es-CL"/>
        </w:rPr>
        <w:t>(cuando corresponda)</w:t>
      </w:r>
      <w:r w:rsidR="00824BAF" w:rsidRPr="00503BDC">
        <w:rPr>
          <w:rFonts w:ascii="Arial" w:eastAsia="Times New Roman" w:hAnsi="Arial" w:cs="Arial"/>
          <w:lang w:eastAsia="es-CL"/>
        </w:rPr>
        <w:t xml:space="preserve"> </w:t>
      </w:r>
      <w:r w:rsidRPr="00503BDC">
        <w:rPr>
          <w:rFonts w:ascii="Arial" w:eastAsia="Times New Roman" w:hAnsi="Arial" w:cs="Arial"/>
          <w:lang w:eastAsia="es-CL"/>
        </w:rPr>
        <w:t xml:space="preserve">y el </w:t>
      </w:r>
      <w:r w:rsidR="0077397E">
        <w:rPr>
          <w:rFonts w:ascii="Arial" w:eastAsia="Times New Roman" w:hAnsi="Arial" w:cs="Arial"/>
          <w:lang w:eastAsia="es-CL"/>
        </w:rPr>
        <w:t xml:space="preserve">Jefe de </w:t>
      </w:r>
      <w:r w:rsidRPr="00503BDC">
        <w:rPr>
          <w:rFonts w:ascii="Arial" w:eastAsia="Times New Roman" w:hAnsi="Arial" w:cs="Arial"/>
          <w:lang w:eastAsia="es-CL"/>
        </w:rPr>
        <w:t>Auditoría para remediar cualquier insuficiencia de recursos.</w:t>
      </w:r>
    </w:p>
    <w:p w14:paraId="391C559A" w14:textId="77777777" w:rsidR="008A6CFD" w:rsidRDefault="0040637B" w:rsidP="008A6CFD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lang w:eastAsia="es-CL"/>
        </w:rPr>
      </w:pPr>
      <w:r w:rsidRPr="00503BDC">
        <w:rPr>
          <w:rFonts w:ascii="Arial" w:eastAsia="Times New Roman" w:hAnsi="Arial" w:cs="Arial"/>
          <w:lang w:eastAsia="es-CL"/>
        </w:rPr>
        <w:t>Apoyar estrategias para el desarrollo profesional continuo del equipo auditor</w:t>
      </w:r>
      <w:r w:rsidR="0077397E">
        <w:rPr>
          <w:rFonts w:ascii="Arial" w:eastAsia="Times New Roman" w:hAnsi="Arial" w:cs="Arial"/>
          <w:lang w:eastAsia="es-CL"/>
        </w:rPr>
        <w:t>.</w:t>
      </w:r>
    </w:p>
    <w:p w14:paraId="17155915" w14:textId="77777777" w:rsidR="008A6CFD" w:rsidRPr="008A6CFD" w:rsidRDefault="008A6CFD" w:rsidP="008A6CFD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lang w:eastAsia="es-CL"/>
        </w:rPr>
      </w:pPr>
      <w:r w:rsidRPr="008A6CFD">
        <w:rPr>
          <w:rFonts w:ascii="Arial" w:hAnsi="Arial" w:cs="Arial"/>
        </w:rPr>
        <w:t xml:space="preserve">Cumplir y asegurar la conformidad de las </w:t>
      </w:r>
      <w:r w:rsidRPr="008A6CFD">
        <w:rPr>
          <w:rFonts w:ascii="Arial" w:hAnsi="Arial" w:cs="Arial"/>
          <w:b/>
          <w:bCs/>
        </w:rPr>
        <w:t>condiciones esenciales</w:t>
      </w:r>
      <w:r w:rsidRPr="008A6CFD">
        <w:t xml:space="preserve"> </w:t>
      </w:r>
      <w:r w:rsidRPr="008A6CFD">
        <w:rPr>
          <w:rFonts w:ascii="Arial" w:hAnsi="Arial" w:cs="Arial"/>
        </w:rPr>
        <w:t xml:space="preserve">relacionadas con el Jefe de Servicio, promoviendo una supervisión efectiva de la auditoría interna. </w:t>
      </w:r>
    </w:p>
    <w:p w14:paraId="50297A3C" w14:textId="5665B674" w:rsidR="008A6CFD" w:rsidRPr="00E55533" w:rsidRDefault="008A6CFD" w:rsidP="008A6CFD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lang w:eastAsia="es-CL"/>
        </w:rPr>
      </w:pPr>
      <w:r w:rsidRPr="008A6CFD">
        <w:rPr>
          <w:rFonts w:ascii="Arial" w:hAnsi="Arial" w:cs="Arial"/>
        </w:rPr>
        <w:t>En caso de que el Jefe de Servicio no respalde una condición esencial, deberá justificar y documentar las razones, así como proponer medidas alternativas que aseguren el cumplimiento de los principios de auditoría interna.</w:t>
      </w:r>
    </w:p>
    <w:p w14:paraId="131F7080" w14:textId="77777777" w:rsidR="00E55533" w:rsidRDefault="00E55533" w:rsidP="00E55533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lang w:eastAsia="es-CL"/>
        </w:rPr>
      </w:pPr>
    </w:p>
    <w:p w14:paraId="63D8B1BF" w14:textId="77777777" w:rsidR="00D4693D" w:rsidRPr="008A6CFD" w:rsidRDefault="00D4693D" w:rsidP="00E55533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lang w:eastAsia="es-CL"/>
        </w:rPr>
      </w:pPr>
    </w:p>
    <w:p w14:paraId="58E7E264" w14:textId="61DC01D0" w:rsidR="0012313D" w:rsidRPr="00503BDC" w:rsidRDefault="0012313D" w:rsidP="0012313D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lang w:eastAsia="es-CL"/>
        </w:rPr>
      </w:pPr>
      <w:r>
        <w:rPr>
          <w:rFonts w:ascii="Arial" w:eastAsia="Times New Roman" w:hAnsi="Arial" w:cs="Arial"/>
          <w:b/>
          <w:bCs/>
          <w:lang w:eastAsia="es-CL"/>
        </w:rPr>
        <w:lastRenderedPageBreak/>
        <w:t xml:space="preserve">b. Rol de la </w:t>
      </w:r>
      <w:r w:rsidRPr="00503BDC">
        <w:rPr>
          <w:rFonts w:ascii="Arial" w:eastAsia="Times New Roman" w:hAnsi="Arial" w:cs="Arial"/>
          <w:b/>
          <w:bCs/>
          <w:lang w:eastAsia="es-CL"/>
        </w:rPr>
        <w:t>Alta Dirección</w:t>
      </w:r>
      <w:r>
        <w:rPr>
          <w:rFonts w:ascii="Arial" w:eastAsia="Times New Roman" w:hAnsi="Arial" w:cs="Arial"/>
          <w:b/>
          <w:bCs/>
          <w:lang w:eastAsia="es-CL"/>
        </w:rPr>
        <w:t xml:space="preserve"> (cuando corresponda)</w:t>
      </w:r>
    </w:p>
    <w:p w14:paraId="52E4F09E" w14:textId="77777777" w:rsidR="0012313D" w:rsidRPr="00503BDC" w:rsidRDefault="0012313D" w:rsidP="0012313D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lang w:eastAsia="es-CL"/>
        </w:rPr>
      </w:pPr>
      <w:r w:rsidRPr="00503BDC">
        <w:rPr>
          <w:rFonts w:ascii="Arial" w:eastAsia="Times New Roman" w:hAnsi="Arial" w:cs="Arial"/>
          <w:lang w:eastAsia="es-CL"/>
        </w:rPr>
        <w:t>Proveer los recursos necesarios para el funcionamiento efectivo de la Función de Auditoría Interna.</w:t>
      </w:r>
    </w:p>
    <w:p w14:paraId="33EFB285" w14:textId="77777777" w:rsidR="0012313D" w:rsidRPr="00503BDC" w:rsidRDefault="0012313D" w:rsidP="0012313D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lang w:eastAsia="es-CL"/>
        </w:rPr>
      </w:pPr>
      <w:r w:rsidRPr="00503BDC">
        <w:rPr>
          <w:rFonts w:ascii="Arial" w:eastAsia="Times New Roman" w:hAnsi="Arial" w:cs="Arial"/>
          <w:lang w:eastAsia="es-CL"/>
        </w:rPr>
        <w:t xml:space="preserve">Coordinar con el </w:t>
      </w:r>
      <w:r>
        <w:rPr>
          <w:rFonts w:ascii="Arial" w:eastAsia="Times New Roman" w:hAnsi="Arial" w:cs="Arial"/>
          <w:lang w:eastAsia="es-CL"/>
        </w:rPr>
        <w:t>Jefe de Servicio</w:t>
      </w:r>
      <w:r w:rsidRPr="00503BDC">
        <w:rPr>
          <w:rFonts w:ascii="Arial" w:eastAsia="Times New Roman" w:hAnsi="Arial" w:cs="Arial"/>
          <w:lang w:eastAsia="es-CL"/>
        </w:rPr>
        <w:t xml:space="preserve"> y el </w:t>
      </w:r>
      <w:r>
        <w:rPr>
          <w:rFonts w:ascii="Arial" w:eastAsia="Times New Roman" w:hAnsi="Arial" w:cs="Arial"/>
          <w:lang w:eastAsia="es-CL"/>
        </w:rPr>
        <w:t>Jefe</w:t>
      </w:r>
      <w:r w:rsidRPr="00503BDC">
        <w:rPr>
          <w:rFonts w:ascii="Arial" w:eastAsia="Times New Roman" w:hAnsi="Arial" w:cs="Arial"/>
          <w:lang w:eastAsia="es-CL"/>
        </w:rPr>
        <w:t xml:space="preserve"> de Auditoría para resolver limitaciones de recursos.</w:t>
      </w:r>
    </w:p>
    <w:p w14:paraId="0DA058FC" w14:textId="77777777" w:rsidR="0012313D" w:rsidRPr="00503BDC" w:rsidRDefault="0012313D" w:rsidP="0012313D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lang w:eastAsia="es-CL"/>
        </w:rPr>
      </w:pPr>
      <w:r w:rsidRPr="00503BDC">
        <w:rPr>
          <w:rFonts w:ascii="Arial" w:eastAsia="Times New Roman" w:hAnsi="Arial" w:cs="Arial"/>
          <w:lang w:eastAsia="es-CL"/>
        </w:rPr>
        <w:t>Evaluar y aprobar las solicitudes presupuestarias relacionadas con la Auditoría Interna.</w:t>
      </w:r>
    </w:p>
    <w:p w14:paraId="5B8265A8" w14:textId="77777777" w:rsidR="0012313D" w:rsidRDefault="0012313D" w:rsidP="0012313D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lang w:eastAsia="es-CL"/>
        </w:rPr>
      </w:pPr>
      <w:r w:rsidRPr="00503BDC">
        <w:rPr>
          <w:rFonts w:ascii="Arial" w:eastAsia="Times New Roman" w:hAnsi="Arial" w:cs="Arial"/>
          <w:lang w:eastAsia="es-CL"/>
        </w:rPr>
        <w:t>Promover programas de formación y capacitación para los auditores internos.</w:t>
      </w:r>
    </w:p>
    <w:p w14:paraId="6283A86A" w14:textId="77777777" w:rsidR="00A731AB" w:rsidRPr="00427073" w:rsidRDefault="00A731AB" w:rsidP="00A731AB">
      <w:pPr>
        <w:pStyle w:val="NormalWeb"/>
        <w:numPr>
          <w:ilvl w:val="0"/>
          <w:numId w:val="27"/>
        </w:numPr>
        <w:tabs>
          <w:tab w:val="clear" w:pos="72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27073">
        <w:rPr>
          <w:rFonts w:ascii="Arial" w:hAnsi="Arial" w:cs="Arial"/>
          <w:sz w:val="22"/>
          <w:szCs w:val="22"/>
        </w:rPr>
        <w:t xml:space="preserve">Cumplir y asegurar la conformidad de las </w:t>
      </w:r>
      <w:r w:rsidRPr="00427073">
        <w:rPr>
          <w:rFonts w:ascii="Arial" w:hAnsi="Arial" w:cs="Arial"/>
          <w:b/>
          <w:bCs/>
          <w:sz w:val="22"/>
          <w:szCs w:val="22"/>
        </w:rPr>
        <w:t>condiciones esenciales</w:t>
      </w:r>
      <w:r w:rsidRPr="00427073">
        <w:rPr>
          <w:rFonts w:ascii="Arial" w:hAnsi="Arial" w:cs="Arial"/>
          <w:sz w:val="22"/>
          <w:szCs w:val="22"/>
        </w:rPr>
        <w:t xml:space="preserve"> relacionadas con la gestión y respaldo de la auditoría interna. </w:t>
      </w:r>
    </w:p>
    <w:p w14:paraId="4FC5234B" w14:textId="27B33167" w:rsidR="0012313D" w:rsidRPr="00A731AB" w:rsidRDefault="00A731AB" w:rsidP="00A731AB">
      <w:pPr>
        <w:pStyle w:val="NormalWeb"/>
        <w:numPr>
          <w:ilvl w:val="0"/>
          <w:numId w:val="27"/>
        </w:numPr>
        <w:tabs>
          <w:tab w:val="clear" w:pos="72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27073">
        <w:rPr>
          <w:rFonts w:ascii="Arial" w:hAnsi="Arial" w:cs="Arial"/>
          <w:sz w:val="22"/>
          <w:szCs w:val="22"/>
        </w:rPr>
        <w:t>En caso de que la Alta Dirección no respalde una condición esencial, deberán justificar y documentar las razones, así como proponer medidas alternativas que aseguren el cumplimiento de los principios de auditoría interna</w:t>
      </w:r>
      <w:r>
        <w:rPr>
          <w:rFonts w:ascii="Arial" w:hAnsi="Arial" w:cs="Arial"/>
          <w:sz w:val="22"/>
          <w:szCs w:val="22"/>
        </w:rPr>
        <w:t>.</w:t>
      </w:r>
    </w:p>
    <w:p w14:paraId="7513C35C" w14:textId="7D3D76A4" w:rsidR="00503BDC" w:rsidRPr="00503BDC" w:rsidRDefault="0012313D" w:rsidP="0012313D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lang w:eastAsia="es-CL"/>
        </w:rPr>
      </w:pPr>
      <w:r>
        <w:rPr>
          <w:rFonts w:ascii="Arial" w:eastAsia="Times New Roman" w:hAnsi="Arial" w:cs="Arial"/>
          <w:b/>
          <w:bCs/>
          <w:lang w:eastAsia="es-CL"/>
        </w:rPr>
        <w:t xml:space="preserve">b. Rol del </w:t>
      </w:r>
      <w:r w:rsidR="0077397E" w:rsidRPr="0012313D">
        <w:rPr>
          <w:rFonts w:ascii="Arial" w:eastAsia="Times New Roman" w:hAnsi="Arial" w:cs="Arial"/>
          <w:b/>
          <w:bCs/>
          <w:lang w:eastAsia="es-CL"/>
        </w:rPr>
        <w:t>Jefe</w:t>
      </w:r>
      <w:r w:rsidR="00503BDC" w:rsidRPr="00503BDC">
        <w:rPr>
          <w:rFonts w:ascii="Arial" w:eastAsia="Times New Roman" w:hAnsi="Arial" w:cs="Arial"/>
          <w:b/>
          <w:bCs/>
          <w:lang w:eastAsia="es-CL"/>
        </w:rPr>
        <w:t xml:space="preserve"> de Auditoría </w:t>
      </w:r>
    </w:p>
    <w:p w14:paraId="123A9C22" w14:textId="77777777" w:rsidR="00503BDC" w:rsidRPr="00503BDC" w:rsidRDefault="00503BDC" w:rsidP="000A78F1">
      <w:pPr>
        <w:numPr>
          <w:ilvl w:val="0"/>
          <w:numId w:val="25"/>
        </w:numPr>
        <w:spacing w:after="0" w:line="240" w:lineRule="auto"/>
        <w:ind w:hanging="357"/>
        <w:jc w:val="both"/>
        <w:outlineLvl w:val="1"/>
        <w:rPr>
          <w:rFonts w:ascii="Arial" w:eastAsia="Times New Roman" w:hAnsi="Arial" w:cs="Arial"/>
          <w:lang w:eastAsia="es-CL"/>
        </w:rPr>
      </w:pPr>
      <w:r w:rsidRPr="00503BDC">
        <w:rPr>
          <w:rFonts w:ascii="Arial" w:eastAsia="Times New Roman" w:hAnsi="Arial" w:cs="Arial"/>
          <w:lang w:eastAsia="es-CL"/>
        </w:rPr>
        <w:t>Evaluar periódicamente si los recursos asignados son suficientes para cumplir el Mandato de Auditoría Interna.</w:t>
      </w:r>
    </w:p>
    <w:p w14:paraId="6D8473A1" w14:textId="77777777" w:rsidR="00503BDC" w:rsidRPr="00503BDC" w:rsidRDefault="00503BDC" w:rsidP="000A78F1">
      <w:pPr>
        <w:numPr>
          <w:ilvl w:val="0"/>
          <w:numId w:val="25"/>
        </w:numPr>
        <w:spacing w:after="0" w:line="240" w:lineRule="auto"/>
        <w:ind w:hanging="357"/>
        <w:jc w:val="both"/>
        <w:outlineLvl w:val="1"/>
        <w:rPr>
          <w:rFonts w:ascii="Arial" w:eastAsia="Times New Roman" w:hAnsi="Arial" w:cs="Arial"/>
          <w:lang w:eastAsia="es-CL"/>
        </w:rPr>
      </w:pPr>
      <w:r w:rsidRPr="00503BDC">
        <w:rPr>
          <w:rFonts w:ascii="Arial" w:eastAsia="Times New Roman" w:hAnsi="Arial" w:cs="Arial"/>
          <w:lang w:eastAsia="es-CL"/>
        </w:rPr>
        <w:t>Realizar un análisis de brechas entre los recursos disponibles y los necesarios.</w:t>
      </w:r>
    </w:p>
    <w:p w14:paraId="0D54D8EF" w14:textId="67765859" w:rsidR="00503BDC" w:rsidRPr="00503BDC" w:rsidRDefault="00503BDC" w:rsidP="000A78F1">
      <w:pPr>
        <w:numPr>
          <w:ilvl w:val="0"/>
          <w:numId w:val="25"/>
        </w:numPr>
        <w:spacing w:after="0" w:line="240" w:lineRule="auto"/>
        <w:ind w:hanging="357"/>
        <w:jc w:val="both"/>
        <w:outlineLvl w:val="1"/>
        <w:rPr>
          <w:rFonts w:ascii="Arial" w:eastAsia="Times New Roman" w:hAnsi="Arial" w:cs="Arial"/>
          <w:lang w:eastAsia="es-CL"/>
        </w:rPr>
      </w:pPr>
      <w:r w:rsidRPr="00503BDC">
        <w:rPr>
          <w:rFonts w:ascii="Arial" w:eastAsia="Times New Roman" w:hAnsi="Arial" w:cs="Arial"/>
          <w:lang w:eastAsia="es-CL"/>
        </w:rPr>
        <w:t xml:space="preserve">Desarrollar y presentar un plan de recursos al </w:t>
      </w:r>
      <w:r w:rsidR="0077397E">
        <w:rPr>
          <w:rFonts w:ascii="Arial" w:eastAsia="Times New Roman" w:hAnsi="Arial" w:cs="Arial"/>
          <w:lang w:eastAsia="es-CL"/>
        </w:rPr>
        <w:t>Jefe de Servicio</w:t>
      </w:r>
      <w:r w:rsidRPr="00503BDC">
        <w:rPr>
          <w:rFonts w:ascii="Arial" w:eastAsia="Times New Roman" w:hAnsi="Arial" w:cs="Arial"/>
          <w:lang w:eastAsia="es-CL"/>
        </w:rPr>
        <w:t xml:space="preserve"> y a la Alta Dirección</w:t>
      </w:r>
      <w:r w:rsidR="00824BAF">
        <w:rPr>
          <w:rFonts w:ascii="Arial" w:eastAsia="Times New Roman" w:hAnsi="Arial" w:cs="Arial"/>
          <w:lang w:eastAsia="es-CL"/>
        </w:rPr>
        <w:t xml:space="preserve"> (cuando corresponda)</w:t>
      </w:r>
      <w:r w:rsidRPr="00503BDC">
        <w:rPr>
          <w:rFonts w:ascii="Arial" w:eastAsia="Times New Roman" w:hAnsi="Arial" w:cs="Arial"/>
          <w:lang w:eastAsia="es-CL"/>
        </w:rPr>
        <w:t>.</w:t>
      </w:r>
    </w:p>
    <w:p w14:paraId="0B12FC9A" w14:textId="77777777" w:rsidR="00503BDC" w:rsidRPr="00503BDC" w:rsidRDefault="00503BDC" w:rsidP="000A78F1">
      <w:pPr>
        <w:numPr>
          <w:ilvl w:val="0"/>
          <w:numId w:val="25"/>
        </w:numPr>
        <w:spacing w:after="0" w:line="240" w:lineRule="auto"/>
        <w:ind w:hanging="357"/>
        <w:jc w:val="both"/>
        <w:outlineLvl w:val="1"/>
        <w:rPr>
          <w:rFonts w:ascii="Arial" w:eastAsia="Times New Roman" w:hAnsi="Arial" w:cs="Arial"/>
          <w:lang w:eastAsia="es-CL"/>
        </w:rPr>
      </w:pPr>
      <w:r w:rsidRPr="00503BDC">
        <w:rPr>
          <w:rFonts w:ascii="Arial" w:eastAsia="Times New Roman" w:hAnsi="Arial" w:cs="Arial"/>
          <w:lang w:eastAsia="es-CL"/>
        </w:rPr>
        <w:t>Proponer estrategias para obtener los recursos necesarios y mitigar deficiencias.</w:t>
      </w:r>
    </w:p>
    <w:p w14:paraId="72716720" w14:textId="36310A8E" w:rsidR="00503BDC" w:rsidRPr="00503BDC" w:rsidRDefault="00503BDC" w:rsidP="000A78F1">
      <w:pPr>
        <w:numPr>
          <w:ilvl w:val="0"/>
          <w:numId w:val="25"/>
        </w:numPr>
        <w:spacing w:after="0" w:line="240" w:lineRule="auto"/>
        <w:ind w:hanging="357"/>
        <w:jc w:val="both"/>
        <w:outlineLvl w:val="1"/>
        <w:rPr>
          <w:rFonts w:ascii="Arial" w:eastAsia="Times New Roman" w:hAnsi="Arial" w:cs="Arial"/>
          <w:lang w:eastAsia="es-CL"/>
        </w:rPr>
      </w:pPr>
      <w:r w:rsidRPr="00503BDC">
        <w:rPr>
          <w:rFonts w:ascii="Arial" w:eastAsia="Times New Roman" w:hAnsi="Arial" w:cs="Arial"/>
          <w:lang w:eastAsia="es-CL"/>
        </w:rPr>
        <w:t xml:space="preserve">Informar al </w:t>
      </w:r>
      <w:r w:rsidR="00824BAF" w:rsidRPr="00824BAF">
        <w:rPr>
          <w:rFonts w:ascii="Arial" w:eastAsia="Times New Roman" w:hAnsi="Arial" w:cs="Arial"/>
          <w:lang w:eastAsia="es-CL"/>
        </w:rPr>
        <w:t xml:space="preserve">Jefe de Servicio </w:t>
      </w:r>
      <w:r w:rsidRPr="00503BDC">
        <w:rPr>
          <w:rFonts w:ascii="Arial" w:eastAsia="Times New Roman" w:hAnsi="Arial" w:cs="Arial"/>
          <w:lang w:eastAsia="es-CL"/>
        </w:rPr>
        <w:t>sobre el impacto de cualquier insuficiencia de recursos y las medidas para abordar la situación.</w:t>
      </w:r>
    </w:p>
    <w:p w14:paraId="6E8385D1" w14:textId="77777777" w:rsidR="000A78F1" w:rsidRPr="000A78F1" w:rsidRDefault="00503BDC" w:rsidP="000A78F1">
      <w:pPr>
        <w:numPr>
          <w:ilvl w:val="1"/>
          <w:numId w:val="35"/>
        </w:numPr>
        <w:spacing w:after="0" w:line="240" w:lineRule="auto"/>
        <w:ind w:left="709" w:hanging="357"/>
        <w:jc w:val="both"/>
        <w:outlineLvl w:val="1"/>
        <w:rPr>
          <w:rFonts w:ascii="Arial" w:hAnsi="Arial" w:cs="Arial"/>
        </w:rPr>
      </w:pPr>
      <w:r w:rsidRPr="00503BDC">
        <w:rPr>
          <w:rFonts w:ascii="Arial" w:eastAsia="Times New Roman" w:hAnsi="Arial" w:cs="Arial"/>
          <w:lang w:eastAsia="es-CL"/>
        </w:rPr>
        <w:t>Diseñar e implementar un plan de gestión de talento para garantizar la contratación, formación y retención del personal auditor.</w:t>
      </w:r>
    </w:p>
    <w:p w14:paraId="341F9EE3" w14:textId="15801A74" w:rsidR="000A78F1" w:rsidRPr="000A78F1" w:rsidRDefault="000A78F1" w:rsidP="000A78F1">
      <w:pPr>
        <w:numPr>
          <w:ilvl w:val="1"/>
          <w:numId w:val="35"/>
        </w:numPr>
        <w:spacing w:after="0" w:line="240" w:lineRule="auto"/>
        <w:ind w:left="709" w:hanging="357"/>
        <w:jc w:val="both"/>
        <w:outlineLvl w:val="1"/>
        <w:rPr>
          <w:rFonts w:ascii="Arial" w:hAnsi="Arial" w:cs="Arial"/>
        </w:rPr>
      </w:pPr>
      <w:r w:rsidRPr="000A78F1">
        <w:rPr>
          <w:rFonts w:ascii="Arial" w:hAnsi="Arial" w:cs="Arial"/>
        </w:rPr>
        <w:t xml:space="preserve">Evaluar la justificación y documentación de las medidas alternativas propuestas a las </w:t>
      </w:r>
      <w:r w:rsidRPr="000A78F1">
        <w:rPr>
          <w:rFonts w:ascii="Arial" w:hAnsi="Arial" w:cs="Arial"/>
          <w:b/>
          <w:bCs/>
        </w:rPr>
        <w:t>condiciones esenciales</w:t>
      </w:r>
      <w:r w:rsidRPr="000A78F1">
        <w:rPr>
          <w:rFonts w:ascii="Arial" w:hAnsi="Arial" w:cs="Arial"/>
        </w:rPr>
        <w:t xml:space="preserve"> que el Jefe de Servicio o la Alta Dirección no respalden.</w:t>
      </w:r>
    </w:p>
    <w:p w14:paraId="3C1F3FE2" w14:textId="77777777" w:rsidR="000A78F1" w:rsidRPr="00427073" w:rsidRDefault="000A78F1" w:rsidP="000A78F1">
      <w:pPr>
        <w:pStyle w:val="NormalWeb"/>
        <w:numPr>
          <w:ilvl w:val="1"/>
          <w:numId w:val="35"/>
        </w:numPr>
        <w:spacing w:before="0" w:beforeAutospacing="0" w:after="0" w:afterAutospacing="0"/>
        <w:ind w:left="709" w:hanging="357"/>
        <w:jc w:val="both"/>
        <w:rPr>
          <w:rFonts w:ascii="Arial" w:hAnsi="Arial" w:cs="Arial"/>
          <w:sz w:val="22"/>
          <w:szCs w:val="22"/>
        </w:rPr>
      </w:pPr>
      <w:r w:rsidRPr="00427073">
        <w:rPr>
          <w:rFonts w:ascii="Arial" w:hAnsi="Arial" w:cs="Arial"/>
          <w:sz w:val="22"/>
          <w:szCs w:val="22"/>
        </w:rPr>
        <w:t xml:space="preserve">Evaluar y reportar cualquier incumplimiento de las </w:t>
      </w:r>
      <w:r w:rsidRPr="00427073">
        <w:rPr>
          <w:rFonts w:ascii="Arial" w:hAnsi="Arial" w:cs="Arial"/>
          <w:b/>
          <w:bCs/>
          <w:sz w:val="22"/>
          <w:szCs w:val="22"/>
        </w:rPr>
        <w:t>condiciones esenciales</w:t>
      </w:r>
      <w:r w:rsidRPr="00427073">
        <w:rPr>
          <w:rFonts w:ascii="Arial" w:hAnsi="Arial" w:cs="Arial"/>
          <w:sz w:val="22"/>
          <w:szCs w:val="22"/>
        </w:rPr>
        <w:t>, al Jefe del Servicio y de la Alta Dirección, proponiendo medidas alternativas si corresponde.</w:t>
      </w:r>
    </w:p>
    <w:p w14:paraId="15E29DA4" w14:textId="77777777" w:rsidR="000A78F1" w:rsidRPr="00427073" w:rsidRDefault="000A78F1" w:rsidP="000A78F1">
      <w:pPr>
        <w:pStyle w:val="NormalWeb"/>
        <w:numPr>
          <w:ilvl w:val="1"/>
          <w:numId w:val="35"/>
        </w:numPr>
        <w:spacing w:before="0" w:beforeAutospacing="0" w:after="0" w:afterAutospacing="0"/>
        <w:ind w:left="709" w:hanging="357"/>
        <w:jc w:val="both"/>
        <w:rPr>
          <w:rFonts w:ascii="Arial" w:hAnsi="Arial" w:cs="Arial"/>
          <w:sz w:val="22"/>
          <w:szCs w:val="22"/>
        </w:rPr>
      </w:pPr>
      <w:r w:rsidRPr="00427073">
        <w:rPr>
          <w:rFonts w:ascii="Arial" w:hAnsi="Arial" w:cs="Arial"/>
          <w:sz w:val="22"/>
          <w:szCs w:val="22"/>
        </w:rPr>
        <w:t xml:space="preserve">En caso de estar de acuerdo con las medidas alternativas propuestas, su opinión debe justificarse y documentarse. </w:t>
      </w:r>
    </w:p>
    <w:p w14:paraId="31C65C91" w14:textId="77777777" w:rsidR="000A78F1" w:rsidRPr="00427073" w:rsidRDefault="000A78F1" w:rsidP="000A78F1">
      <w:pPr>
        <w:pStyle w:val="NormalWeb"/>
        <w:numPr>
          <w:ilvl w:val="1"/>
          <w:numId w:val="35"/>
        </w:numPr>
        <w:spacing w:before="0" w:beforeAutospacing="0" w:after="0" w:afterAutospacing="0"/>
        <w:ind w:left="709" w:hanging="357"/>
        <w:jc w:val="both"/>
        <w:rPr>
          <w:rFonts w:ascii="Arial" w:eastAsia="Calibri" w:hAnsi="Arial" w:cs="Arial"/>
          <w:bCs/>
        </w:rPr>
      </w:pPr>
      <w:r w:rsidRPr="00427073">
        <w:rPr>
          <w:rFonts w:ascii="Arial" w:hAnsi="Arial" w:cs="Arial"/>
          <w:sz w:val="22"/>
          <w:szCs w:val="22"/>
        </w:rPr>
        <w:t>En caso de no estar de acuerdo con las medidas alternativas propuestas finalmente, se documentará y justificará la opinión, y se la remitirá al Jefe de Servicio, dejando la evidencia disponible para los evaluadores externos de calidad de la función de auditoría interna, en caso de revisión</w:t>
      </w:r>
    </w:p>
    <w:p w14:paraId="698B6811" w14:textId="2A96D8CD" w:rsidR="00503BDC" w:rsidRPr="00503BDC" w:rsidRDefault="005A328C" w:rsidP="00503BDC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lang w:eastAsia="es-CL"/>
        </w:rPr>
      </w:pPr>
      <w:r>
        <w:rPr>
          <w:rFonts w:ascii="Arial" w:eastAsia="Times New Roman" w:hAnsi="Arial" w:cs="Arial"/>
          <w:b/>
          <w:bCs/>
          <w:lang w:eastAsia="es-CL"/>
        </w:rPr>
        <w:t xml:space="preserve">c. </w:t>
      </w:r>
      <w:r w:rsidR="00503BDC" w:rsidRPr="00503BDC">
        <w:rPr>
          <w:rFonts w:ascii="Arial" w:eastAsia="Times New Roman" w:hAnsi="Arial" w:cs="Arial"/>
          <w:b/>
          <w:bCs/>
          <w:lang w:eastAsia="es-CL"/>
        </w:rPr>
        <w:t>Evaluación y Asignación de Recursos</w:t>
      </w:r>
    </w:p>
    <w:p w14:paraId="66165808" w14:textId="3029D646" w:rsidR="005A328C" w:rsidRPr="005A328C" w:rsidRDefault="00503BDC" w:rsidP="005A328C">
      <w:pPr>
        <w:pStyle w:val="ListParagraph"/>
        <w:numPr>
          <w:ilvl w:val="0"/>
          <w:numId w:val="36"/>
        </w:numPr>
        <w:spacing w:after="0" w:line="240" w:lineRule="auto"/>
        <w:jc w:val="both"/>
        <w:outlineLvl w:val="1"/>
        <w:rPr>
          <w:rFonts w:ascii="Arial" w:eastAsia="Times New Roman" w:hAnsi="Arial" w:cs="Arial"/>
          <w:lang w:eastAsia="es-CL"/>
        </w:rPr>
      </w:pPr>
      <w:r w:rsidRPr="005A328C">
        <w:rPr>
          <w:rFonts w:ascii="Arial" w:eastAsia="Times New Roman" w:hAnsi="Arial" w:cs="Arial"/>
          <w:lang w:eastAsia="es-CL"/>
        </w:rPr>
        <w:t xml:space="preserve">El </w:t>
      </w:r>
      <w:r w:rsidR="0077397E" w:rsidRPr="005A328C">
        <w:rPr>
          <w:rFonts w:ascii="Arial" w:eastAsia="Times New Roman" w:hAnsi="Arial" w:cs="Arial"/>
          <w:lang w:eastAsia="es-CL"/>
        </w:rPr>
        <w:t>Jefe</w:t>
      </w:r>
      <w:r w:rsidRPr="005A328C">
        <w:rPr>
          <w:rFonts w:ascii="Arial" w:eastAsia="Times New Roman" w:hAnsi="Arial" w:cs="Arial"/>
          <w:lang w:eastAsia="es-CL"/>
        </w:rPr>
        <w:t xml:space="preserve"> de Auditoría realizará un análisis anual de brechas para determinar los recursos requeridos.</w:t>
      </w:r>
    </w:p>
    <w:p w14:paraId="1D3987C8" w14:textId="77777777" w:rsidR="00503BDC" w:rsidRPr="005A328C" w:rsidRDefault="00503BDC" w:rsidP="005A328C">
      <w:pPr>
        <w:pStyle w:val="ListParagraph"/>
        <w:numPr>
          <w:ilvl w:val="0"/>
          <w:numId w:val="36"/>
        </w:numPr>
        <w:spacing w:after="0" w:line="240" w:lineRule="auto"/>
        <w:jc w:val="both"/>
        <w:outlineLvl w:val="1"/>
        <w:rPr>
          <w:rFonts w:ascii="Arial" w:eastAsia="Times New Roman" w:hAnsi="Arial" w:cs="Arial"/>
          <w:lang w:eastAsia="es-CL"/>
        </w:rPr>
      </w:pPr>
      <w:r w:rsidRPr="005A328C">
        <w:rPr>
          <w:rFonts w:ascii="Arial" w:eastAsia="Times New Roman" w:hAnsi="Arial" w:cs="Arial"/>
          <w:lang w:eastAsia="es-CL"/>
        </w:rPr>
        <w:t>Se presentará un plan de recursos que contemple:</w:t>
      </w:r>
    </w:p>
    <w:p w14:paraId="42BB1EA2" w14:textId="77777777" w:rsidR="005A328C" w:rsidRDefault="005A328C" w:rsidP="005A328C">
      <w:pPr>
        <w:spacing w:after="0" w:line="240" w:lineRule="auto"/>
        <w:ind w:left="720"/>
        <w:jc w:val="both"/>
        <w:outlineLvl w:val="1"/>
        <w:rPr>
          <w:rFonts w:ascii="Arial" w:eastAsia="Times New Roman" w:hAnsi="Arial" w:cs="Arial"/>
          <w:lang w:eastAsia="es-CL"/>
        </w:rPr>
      </w:pPr>
    </w:p>
    <w:p w14:paraId="431AB496" w14:textId="77777777" w:rsidR="00503BDC" w:rsidRPr="00503BDC" w:rsidRDefault="00503BDC" w:rsidP="009E2460">
      <w:pPr>
        <w:numPr>
          <w:ilvl w:val="1"/>
          <w:numId w:val="28"/>
        </w:numPr>
        <w:tabs>
          <w:tab w:val="clear" w:pos="1440"/>
        </w:tabs>
        <w:spacing w:after="0" w:line="240" w:lineRule="auto"/>
        <w:ind w:left="1134" w:hanging="425"/>
        <w:jc w:val="both"/>
        <w:outlineLvl w:val="1"/>
        <w:rPr>
          <w:rFonts w:ascii="Arial" w:eastAsia="Times New Roman" w:hAnsi="Arial" w:cs="Arial"/>
          <w:lang w:eastAsia="es-CL"/>
        </w:rPr>
      </w:pPr>
      <w:r w:rsidRPr="00503BDC">
        <w:rPr>
          <w:rFonts w:ascii="Arial" w:eastAsia="Times New Roman" w:hAnsi="Arial" w:cs="Arial"/>
          <w:lang w:eastAsia="es-CL"/>
        </w:rPr>
        <w:t>Solicitudes presupuestarias detalladas.</w:t>
      </w:r>
    </w:p>
    <w:p w14:paraId="728EA96B" w14:textId="77777777" w:rsidR="00503BDC" w:rsidRPr="00503BDC" w:rsidRDefault="00503BDC" w:rsidP="009E2460">
      <w:pPr>
        <w:numPr>
          <w:ilvl w:val="1"/>
          <w:numId w:val="28"/>
        </w:numPr>
        <w:tabs>
          <w:tab w:val="clear" w:pos="1440"/>
        </w:tabs>
        <w:spacing w:after="0" w:line="240" w:lineRule="auto"/>
        <w:ind w:left="1134" w:hanging="425"/>
        <w:jc w:val="both"/>
        <w:outlineLvl w:val="1"/>
        <w:rPr>
          <w:rFonts w:ascii="Arial" w:eastAsia="Times New Roman" w:hAnsi="Arial" w:cs="Arial"/>
          <w:lang w:eastAsia="es-CL"/>
        </w:rPr>
      </w:pPr>
      <w:r w:rsidRPr="00503BDC">
        <w:rPr>
          <w:rFonts w:ascii="Arial" w:eastAsia="Times New Roman" w:hAnsi="Arial" w:cs="Arial"/>
          <w:lang w:eastAsia="es-CL"/>
        </w:rPr>
        <w:t>Opciones de dotación de personal, incluyendo capacitación, contratación o externalización.</w:t>
      </w:r>
    </w:p>
    <w:p w14:paraId="66066049" w14:textId="77777777" w:rsidR="00503BDC" w:rsidRPr="00503BDC" w:rsidRDefault="00503BDC" w:rsidP="009E2460">
      <w:pPr>
        <w:numPr>
          <w:ilvl w:val="1"/>
          <w:numId w:val="28"/>
        </w:numPr>
        <w:tabs>
          <w:tab w:val="clear" w:pos="1440"/>
        </w:tabs>
        <w:spacing w:after="0" w:line="240" w:lineRule="auto"/>
        <w:ind w:left="1134" w:hanging="425"/>
        <w:jc w:val="both"/>
        <w:outlineLvl w:val="1"/>
        <w:rPr>
          <w:rFonts w:ascii="Arial" w:eastAsia="Times New Roman" w:hAnsi="Arial" w:cs="Arial"/>
          <w:lang w:eastAsia="es-CL"/>
        </w:rPr>
      </w:pPr>
      <w:r w:rsidRPr="00503BDC">
        <w:rPr>
          <w:rFonts w:ascii="Arial" w:eastAsia="Times New Roman" w:hAnsi="Arial" w:cs="Arial"/>
          <w:lang w:eastAsia="es-CL"/>
        </w:rPr>
        <w:t>Incorporación de tecnologías para mejorar la eficiencia.</w:t>
      </w:r>
    </w:p>
    <w:p w14:paraId="1DA8B873" w14:textId="77777777" w:rsidR="00503BDC" w:rsidRPr="00503BDC" w:rsidRDefault="00503BDC" w:rsidP="009E2460">
      <w:pPr>
        <w:numPr>
          <w:ilvl w:val="1"/>
          <w:numId w:val="28"/>
        </w:numPr>
        <w:tabs>
          <w:tab w:val="clear" w:pos="1440"/>
        </w:tabs>
        <w:spacing w:after="0" w:line="240" w:lineRule="auto"/>
        <w:ind w:left="1134" w:hanging="425"/>
        <w:jc w:val="both"/>
        <w:outlineLvl w:val="1"/>
        <w:rPr>
          <w:rFonts w:ascii="Arial" w:eastAsia="Times New Roman" w:hAnsi="Arial" w:cs="Arial"/>
          <w:lang w:eastAsia="es-CL"/>
        </w:rPr>
      </w:pPr>
      <w:r w:rsidRPr="00503BDC">
        <w:rPr>
          <w:rFonts w:ascii="Arial" w:eastAsia="Times New Roman" w:hAnsi="Arial" w:cs="Arial"/>
          <w:lang w:eastAsia="es-CL"/>
        </w:rPr>
        <w:lastRenderedPageBreak/>
        <w:t>Análisis de costo-beneficio de diferentes alternativas.</w:t>
      </w:r>
    </w:p>
    <w:p w14:paraId="6CB8C4C7" w14:textId="77777777" w:rsidR="00503BDC" w:rsidRDefault="00503BDC" w:rsidP="009E2460">
      <w:pPr>
        <w:numPr>
          <w:ilvl w:val="1"/>
          <w:numId w:val="28"/>
        </w:numPr>
        <w:tabs>
          <w:tab w:val="clear" w:pos="1440"/>
        </w:tabs>
        <w:spacing w:after="0" w:line="240" w:lineRule="auto"/>
        <w:ind w:left="1134" w:hanging="425"/>
        <w:jc w:val="both"/>
        <w:outlineLvl w:val="1"/>
        <w:rPr>
          <w:rFonts w:ascii="Arial" w:eastAsia="Times New Roman" w:hAnsi="Arial" w:cs="Arial"/>
          <w:lang w:eastAsia="es-CL"/>
        </w:rPr>
      </w:pPr>
      <w:r w:rsidRPr="00503BDC">
        <w:rPr>
          <w:rFonts w:ascii="Arial" w:eastAsia="Times New Roman" w:hAnsi="Arial" w:cs="Arial"/>
          <w:lang w:eastAsia="es-CL"/>
        </w:rPr>
        <w:t>Plan de desarrollo profesional para fortalecer las competencias del equipo auditor.</w:t>
      </w:r>
    </w:p>
    <w:p w14:paraId="66046B04" w14:textId="77777777" w:rsidR="005A328C" w:rsidRPr="00503BDC" w:rsidRDefault="005A328C" w:rsidP="005A328C">
      <w:pPr>
        <w:spacing w:after="0" w:line="240" w:lineRule="auto"/>
        <w:ind w:left="1440"/>
        <w:jc w:val="both"/>
        <w:outlineLvl w:val="1"/>
        <w:rPr>
          <w:rFonts w:ascii="Arial" w:eastAsia="Times New Roman" w:hAnsi="Arial" w:cs="Arial"/>
          <w:lang w:eastAsia="es-CL"/>
        </w:rPr>
      </w:pPr>
    </w:p>
    <w:p w14:paraId="0761FE8F" w14:textId="213F83AF" w:rsidR="00503BDC" w:rsidRPr="005A328C" w:rsidRDefault="00503BDC" w:rsidP="005A328C">
      <w:pPr>
        <w:pStyle w:val="ListParagraph"/>
        <w:numPr>
          <w:ilvl w:val="0"/>
          <w:numId w:val="37"/>
        </w:numPr>
        <w:spacing w:after="0" w:line="240" w:lineRule="auto"/>
        <w:jc w:val="both"/>
        <w:outlineLvl w:val="1"/>
        <w:rPr>
          <w:rFonts w:ascii="Arial" w:eastAsia="Times New Roman" w:hAnsi="Arial" w:cs="Arial"/>
          <w:lang w:eastAsia="es-CL"/>
        </w:rPr>
      </w:pPr>
      <w:r w:rsidRPr="005A328C">
        <w:rPr>
          <w:rFonts w:ascii="Arial" w:eastAsia="Times New Roman" w:hAnsi="Arial" w:cs="Arial"/>
          <w:lang w:eastAsia="es-CL"/>
        </w:rPr>
        <w:t xml:space="preserve">Se establecerán reuniones trimestrales entre el </w:t>
      </w:r>
      <w:r w:rsidR="005A328C" w:rsidRPr="005A328C">
        <w:rPr>
          <w:rFonts w:ascii="Arial" w:eastAsia="Times New Roman" w:hAnsi="Arial" w:cs="Arial"/>
          <w:lang w:eastAsia="es-CL"/>
        </w:rPr>
        <w:t xml:space="preserve">Jefe de Auditoría </w:t>
      </w:r>
      <w:r w:rsidRPr="005A328C">
        <w:rPr>
          <w:rFonts w:ascii="Arial" w:eastAsia="Times New Roman" w:hAnsi="Arial" w:cs="Arial"/>
          <w:lang w:eastAsia="es-CL"/>
        </w:rPr>
        <w:t xml:space="preserve">y el </w:t>
      </w:r>
      <w:r w:rsidR="005A328C" w:rsidRPr="005A328C">
        <w:rPr>
          <w:rFonts w:ascii="Arial" w:eastAsia="Times New Roman" w:hAnsi="Arial" w:cs="Arial"/>
          <w:lang w:eastAsia="es-CL"/>
        </w:rPr>
        <w:t xml:space="preserve">Jefe de </w:t>
      </w:r>
      <w:r w:rsidR="005A328C">
        <w:rPr>
          <w:rFonts w:ascii="Arial" w:eastAsia="Times New Roman" w:hAnsi="Arial" w:cs="Arial"/>
          <w:lang w:eastAsia="es-CL"/>
        </w:rPr>
        <w:t>Servicio</w:t>
      </w:r>
      <w:r w:rsidR="005A328C" w:rsidRPr="005A328C">
        <w:rPr>
          <w:rFonts w:ascii="Arial" w:eastAsia="Times New Roman" w:hAnsi="Arial" w:cs="Arial"/>
          <w:lang w:eastAsia="es-CL"/>
        </w:rPr>
        <w:t xml:space="preserve"> </w:t>
      </w:r>
      <w:r w:rsidRPr="005A328C">
        <w:rPr>
          <w:rFonts w:ascii="Arial" w:eastAsia="Times New Roman" w:hAnsi="Arial" w:cs="Arial"/>
          <w:lang w:eastAsia="es-CL"/>
        </w:rPr>
        <w:t>para evaluar la suficiencia de recursos y posibles ajustes.</w:t>
      </w:r>
    </w:p>
    <w:p w14:paraId="556F5597" w14:textId="5EB9F8C7" w:rsidR="00503BDC" w:rsidRPr="00503BDC" w:rsidRDefault="005A328C" w:rsidP="00503BDC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lang w:eastAsia="es-CL"/>
        </w:rPr>
      </w:pPr>
      <w:r>
        <w:rPr>
          <w:rFonts w:ascii="Arial" w:eastAsia="Times New Roman" w:hAnsi="Arial" w:cs="Arial"/>
          <w:b/>
          <w:bCs/>
          <w:lang w:eastAsia="es-CL"/>
        </w:rPr>
        <w:t xml:space="preserve">d. </w:t>
      </w:r>
      <w:r w:rsidR="00503BDC" w:rsidRPr="00503BDC">
        <w:rPr>
          <w:rFonts w:ascii="Arial" w:eastAsia="Times New Roman" w:hAnsi="Arial" w:cs="Arial"/>
          <w:b/>
          <w:bCs/>
          <w:lang w:eastAsia="es-CL"/>
        </w:rPr>
        <w:t>Suficiencia y Gestión de Recursos Humanos en Auditoría Interna</w:t>
      </w:r>
    </w:p>
    <w:p w14:paraId="2B33710D" w14:textId="77777777" w:rsidR="00503BDC" w:rsidRPr="00503BDC" w:rsidRDefault="00503BDC" w:rsidP="00503BDC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lang w:eastAsia="es-CL"/>
        </w:rPr>
      </w:pPr>
      <w:r w:rsidRPr="00503BDC">
        <w:rPr>
          <w:rFonts w:ascii="Arial" w:eastAsia="Times New Roman" w:hAnsi="Arial" w:cs="Arial"/>
          <w:lang w:eastAsia="es-CL"/>
        </w:rPr>
        <w:t>La Función de Auditoría Interna debe contar con el personal necesario para ejecutar el Plan de Auditoría Interna con eficiencia y calidad.</w:t>
      </w:r>
    </w:p>
    <w:p w14:paraId="6F84C87A" w14:textId="77777777" w:rsidR="00503BDC" w:rsidRPr="00503BDC" w:rsidRDefault="00503BDC" w:rsidP="00503BDC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lang w:eastAsia="es-CL"/>
        </w:rPr>
      </w:pPr>
      <w:r w:rsidRPr="00503BDC">
        <w:rPr>
          <w:rFonts w:ascii="Arial" w:eastAsia="Times New Roman" w:hAnsi="Arial" w:cs="Arial"/>
          <w:lang w:eastAsia="es-CL"/>
        </w:rPr>
        <w:t>Se deberá realizar un análisis de competencias del equipo auditor para identificar necesidades de capacitación.</w:t>
      </w:r>
    </w:p>
    <w:p w14:paraId="540BD878" w14:textId="77777777" w:rsidR="00503BDC" w:rsidRPr="00503BDC" w:rsidRDefault="00503BDC" w:rsidP="00503BDC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lang w:eastAsia="es-CL"/>
        </w:rPr>
      </w:pPr>
      <w:r w:rsidRPr="00503BDC">
        <w:rPr>
          <w:rFonts w:ascii="Arial" w:eastAsia="Times New Roman" w:hAnsi="Arial" w:cs="Arial"/>
          <w:lang w:eastAsia="es-CL"/>
        </w:rPr>
        <w:t>Se fomentará la certificación profesional y el desarrollo continuo del personal auditor.</w:t>
      </w:r>
    </w:p>
    <w:p w14:paraId="657C6003" w14:textId="77777777" w:rsidR="00503BDC" w:rsidRPr="00503BDC" w:rsidRDefault="00503BDC" w:rsidP="00503BDC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lang w:eastAsia="es-CL"/>
        </w:rPr>
      </w:pPr>
      <w:r w:rsidRPr="00503BDC">
        <w:rPr>
          <w:rFonts w:ascii="Arial" w:eastAsia="Times New Roman" w:hAnsi="Arial" w:cs="Arial"/>
          <w:lang w:eastAsia="es-CL"/>
        </w:rPr>
        <w:t>Se implementarán estrategias de retención de talento para garantizar la estabilidad del equipo auditor.</w:t>
      </w:r>
    </w:p>
    <w:p w14:paraId="6F7C4CEC" w14:textId="77777777" w:rsidR="00503BDC" w:rsidRPr="00503BDC" w:rsidRDefault="00503BDC" w:rsidP="00503BDC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lang w:eastAsia="es-CL"/>
        </w:rPr>
      </w:pPr>
      <w:r w:rsidRPr="00503BDC">
        <w:rPr>
          <w:rFonts w:ascii="Arial" w:eastAsia="Times New Roman" w:hAnsi="Arial" w:cs="Arial"/>
          <w:lang w:eastAsia="es-CL"/>
        </w:rPr>
        <w:t>Se podrán considerar auditorías colaborativas, el uso de auditores invitados o la contratación de especialistas externos cuando sea necesario.</w:t>
      </w:r>
    </w:p>
    <w:p w14:paraId="63E4EAC5" w14:textId="480800A3" w:rsidR="00EF5B98" w:rsidRPr="00210B26" w:rsidRDefault="00D359AE" w:rsidP="00EF5B98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lang w:eastAsia="es-CL"/>
        </w:rPr>
      </w:pPr>
      <w:r>
        <w:rPr>
          <w:rFonts w:ascii="Arial" w:eastAsia="Times New Roman" w:hAnsi="Arial" w:cs="Arial"/>
          <w:b/>
          <w:bCs/>
          <w:lang w:eastAsia="es-CL"/>
        </w:rPr>
        <w:t xml:space="preserve">e. </w:t>
      </w:r>
      <w:r w:rsidR="00EF5B98" w:rsidRPr="00210B26">
        <w:rPr>
          <w:rFonts w:ascii="Arial" w:eastAsia="Times New Roman" w:hAnsi="Arial" w:cs="Arial"/>
          <w:b/>
          <w:bCs/>
          <w:lang w:eastAsia="es-CL"/>
        </w:rPr>
        <w:t>Aprobación y Actualización</w:t>
      </w:r>
    </w:p>
    <w:p w14:paraId="30F26AB7" w14:textId="77777777" w:rsidR="00DC7B38" w:rsidRPr="00210B26" w:rsidRDefault="00DC7B38" w:rsidP="00DC7B38">
      <w:pPr>
        <w:pStyle w:val="NormalWeb"/>
        <w:jc w:val="both"/>
        <w:rPr>
          <w:rFonts w:ascii="Arial" w:hAnsi="Arial" w:cs="Arial"/>
          <w:sz w:val="22"/>
          <w:szCs w:val="22"/>
        </w:rPr>
      </w:pPr>
      <w:bookmarkStart w:id="2" w:name="_Hlk191880986"/>
      <w:r w:rsidRPr="00210B26">
        <w:rPr>
          <w:rFonts w:ascii="Arial" w:hAnsi="Arial" w:cs="Arial"/>
          <w:sz w:val="22"/>
          <w:szCs w:val="22"/>
        </w:rPr>
        <w:t xml:space="preserve">Esta política es aprobada por el </w:t>
      </w:r>
      <w:r w:rsidRPr="00210B26">
        <w:rPr>
          <w:rStyle w:val="Strong"/>
          <w:rFonts w:ascii="Arial" w:hAnsi="Arial" w:cs="Arial"/>
          <w:b w:val="0"/>
          <w:bCs w:val="0"/>
          <w:sz w:val="22"/>
          <w:szCs w:val="22"/>
        </w:rPr>
        <w:t>Jefe de Servicio</w:t>
      </w:r>
      <w:r w:rsidRPr="00210B26">
        <w:rPr>
          <w:rFonts w:ascii="Arial" w:hAnsi="Arial" w:cs="Arial"/>
          <w:sz w:val="22"/>
          <w:szCs w:val="22"/>
        </w:rPr>
        <w:t xml:space="preserve"> y será revisada periódicamente, al menos una vez al año o cuando se presenten cambios significativos en la organización o en las normativas aplicables.</w:t>
      </w:r>
    </w:p>
    <w:p w14:paraId="5EF4B7D5" w14:textId="77777777" w:rsidR="00DC7B38" w:rsidRPr="00210B26" w:rsidRDefault="00DC7B38" w:rsidP="00DC7B38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 w:rsidRPr="00210B26">
        <w:rPr>
          <w:rFonts w:ascii="Arial" w:hAnsi="Arial" w:cs="Arial"/>
          <w:sz w:val="22"/>
          <w:szCs w:val="22"/>
        </w:rPr>
        <w:t xml:space="preserve">El </w:t>
      </w:r>
      <w:r w:rsidRPr="00210B26">
        <w:rPr>
          <w:rStyle w:val="Strong"/>
          <w:rFonts w:ascii="Arial" w:hAnsi="Arial" w:cs="Arial"/>
          <w:b w:val="0"/>
          <w:bCs w:val="0"/>
          <w:sz w:val="22"/>
          <w:szCs w:val="22"/>
        </w:rPr>
        <w:t>Jefe de Auditoría</w:t>
      </w:r>
      <w:r w:rsidRPr="00210B26">
        <w:rPr>
          <w:rFonts w:ascii="Arial" w:hAnsi="Arial" w:cs="Arial"/>
          <w:sz w:val="22"/>
          <w:szCs w:val="22"/>
        </w:rPr>
        <w:t xml:space="preserve"> será responsable de su revisión y actualización, garantizando su alineación continua con las </w:t>
      </w:r>
      <w:r w:rsidRPr="00210B26">
        <w:rPr>
          <w:rStyle w:val="Strong"/>
          <w:rFonts w:ascii="Arial" w:hAnsi="Arial" w:cs="Arial"/>
          <w:b w:val="0"/>
          <w:bCs w:val="0"/>
          <w:sz w:val="22"/>
          <w:szCs w:val="22"/>
        </w:rPr>
        <w:t>Normas Globales de Auditoría Interna</w:t>
      </w:r>
      <w:r w:rsidRPr="00210B26">
        <w:rPr>
          <w:rFonts w:ascii="Arial" w:hAnsi="Arial" w:cs="Arial"/>
          <w:sz w:val="22"/>
          <w:szCs w:val="22"/>
        </w:rPr>
        <w:t xml:space="preserve"> y los lineamientos establecidos por la </w:t>
      </w:r>
      <w:r w:rsidRPr="00210B26">
        <w:rPr>
          <w:rStyle w:val="Strong"/>
          <w:rFonts w:ascii="Arial" w:hAnsi="Arial" w:cs="Arial"/>
          <w:b w:val="0"/>
          <w:bCs w:val="0"/>
          <w:sz w:val="22"/>
          <w:szCs w:val="22"/>
        </w:rPr>
        <w:t>Unidad Central de Armonización (CHU)</w:t>
      </w:r>
      <w:r w:rsidRPr="00210B26">
        <w:rPr>
          <w:rFonts w:ascii="Arial" w:hAnsi="Arial" w:cs="Arial"/>
          <w:b/>
          <w:bCs/>
          <w:sz w:val="22"/>
          <w:szCs w:val="22"/>
        </w:rPr>
        <w:t>.</w:t>
      </w:r>
    </w:p>
    <w:bookmarkEnd w:id="2"/>
    <w:p w14:paraId="1BC30A4C" w14:textId="12D677CD" w:rsidR="000958FB" w:rsidRPr="00210B26" w:rsidRDefault="000958FB" w:rsidP="00F86F5D">
      <w:pPr>
        <w:spacing w:after="0"/>
        <w:jc w:val="both"/>
        <w:rPr>
          <w:rFonts w:ascii="Arial" w:eastAsia="Calibri" w:hAnsi="Arial" w:cs="Arial"/>
          <w:b/>
        </w:rPr>
      </w:pPr>
      <w:r w:rsidRPr="00210B26">
        <w:rPr>
          <w:rFonts w:ascii="Arial" w:eastAsia="Calibri" w:hAnsi="Arial" w:cs="Arial"/>
          <w:b/>
        </w:rPr>
        <w:t>5. REGISTRO</w:t>
      </w:r>
    </w:p>
    <w:p w14:paraId="45ACB43C" w14:textId="77777777" w:rsidR="00F86F5D" w:rsidRPr="00210B26" w:rsidRDefault="00F86F5D" w:rsidP="00F86F5D">
      <w:pPr>
        <w:spacing w:after="0"/>
        <w:jc w:val="both"/>
        <w:rPr>
          <w:rFonts w:ascii="Arial" w:eastAsia="Calibri" w:hAnsi="Arial" w:cs="Arial"/>
          <w:b/>
        </w:rPr>
      </w:pPr>
    </w:p>
    <w:p w14:paraId="2FD2A345" w14:textId="4E8EC02C" w:rsidR="00F86F5D" w:rsidRDefault="009E326D" w:rsidP="00EB0111">
      <w:pPr>
        <w:spacing w:after="0"/>
        <w:jc w:val="both"/>
        <w:rPr>
          <w:rFonts w:ascii="Arial" w:eastAsia="Calibri" w:hAnsi="Arial" w:cs="Arial"/>
          <w:bCs/>
        </w:rPr>
      </w:pPr>
      <w:r w:rsidRPr="00210B26">
        <w:rPr>
          <w:rFonts w:ascii="Arial" w:eastAsia="Calibri" w:hAnsi="Arial" w:cs="Arial"/>
          <w:bCs/>
        </w:rPr>
        <w:t xml:space="preserve">Copia de la política aprobada y sus actualizaciones se almacenarán digitalmente durante un período mínimo de </w:t>
      </w:r>
      <w:r w:rsidRPr="0028115A">
        <w:rPr>
          <w:rFonts w:ascii="Arial" w:eastAsia="Calibri" w:hAnsi="Arial" w:cs="Arial"/>
          <w:b/>
        </w:rPr>
        <w:t>XX</w:t>
      </w:r>
      <w:r w:rsidRPr="00210B26">
        <w:rPr>
          <w:rFonts w:ascii="Arial" w:eastAsia="Calibri" w:hAnsi="Arial" w:cs="Arial"/>
          <w:bCs/>
        </w:rPr>
        <w:t xml:space="preserve"> años. El sistema de almacenamiento garantizará un acceso seguro y restringido, disponible únicamente para el Jefe de Auditoría, los supervisores y terceros autorizados cuando sea necesario.</w:t>
      </w:r>
    </w:p>
    <w:p w14:paraId="2DF3067A" w14:textId="77777777" w:rsidR="00A01DFF" w:rsidRPr="00210B26" w:rsidRDefault="00A01DFF" w:rsidP="00EB0111">
      <w:pPr>
        <w:spacing w:after="0"/>
        <w:jc w:val="both"/>
        <w:rPr>
          <w:rFonts w:ascii="Arial" w:eastAsia="Calibri" w:hAnsi="Arial" w:cs="Arial"/>
          <w:bCs/>
        </w:rPr>
      </w:pPr>
    </w:p>
    <w:p w14:paraId="6DB15AAE" w14:textId="77777777" w:rsidR="008C0273" w:rsidRDefault="008C0273" w:rsidP="008C0273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4B6AC6">
        <w:rPr>
          <w:rFonts w:ascii="Arial" w:hAnsi="Arial" w:cs="Arial"/>
        </w:rPr>
        <w:t>En esta materia</w:t>
      </w:r>
      <w:r w:rsidRPr="00611609">
        <w:rPr>
          <w:rFonts w:ascii="Arial" w:hAnsi="Arial" w:cs="Arial"/>
        </w:rPr>
        <w:t>, es fundamental considerar la legislación y normativa, tanto general como específica, que regula la conservación, transferencia y eliminación de documentos en el Estado.</w:t>
      </w:r>
    </w:p>
    <w:p w14:paraId="0D082DF1" w14:textId="77777777" w:rsidR="00A01DFF" w:rsidRPr="008C0273" w:rsidRDefault="00A01DFF" w:rsidP="00EB0111">
      <w:pPr>
        <w:spacing w:after="0"/>
        <w:jc w:val="both"/>
        <w:rPr>
          <w:rFonts w:ascii="Arial" w:eastAsia="Calibri" w:hAnsi="Arial" w:cs="Arial"/>
          <w:bCs/>
        </w:rPr>
      </w:pPr>
    </w:p>
    <w:p w14:paraId="4979EA3E" w14:textId="4E1251A2" w:rsidR="000958FB" w:rsidRPr="00210B26" w:rsidRDefault="000958FB" w:rsidP="000958FB">
      <w:pPr>
        <w:jc w:val="both"/>
        <w:rPr>
          <w:rFonts w:ascii="Arial" w:eastAsia="Calibri" w:hAnsi="Arial" w:cs="Arial"/>
          <w:b/>
        </w:rPr>
      </w:pPr>
      <w:r w:rsidRPr="00210B26">
        <w:rPr>
          <w:rFonts w:ascii="Arial" w:eastAsia="Calibri" w:hAnsi="Arial" w:cs="Arial"/>
          <w:b/>
        </w:rPr>
        <w:t xml:space="preserve">6. LISTA DE DISTRIBUCIÓN </w:t>
      </w:r>
    </w:p>
    <w:p w14:paraId="68AADF1B" w14:textId="7811D962" w:rsidR="00F86F5D" w:rsidRPr="00210B26" w:rsidRDefault="0011775C" w:rsidP="00F86F5D">
      <w:pPr>
        <w:spacing w:after="0"/>
        <w:jc w:val="both"/>
        <w:rPr>
          <w:rFonts w:ascii="Arial" w:eastAsia="Calibri" w:hAnsi="Arial" w:cs="Arial"/>
        </w:rPr>
      </w:pPr>
      <w:r w:rsidRPr="00210B26">
        <w:rPr>
          <w:rFonts w:ascii="Arial" w:eastAsia="Calibri" w:hAnsi="Arial" w:cs="Arial"/>
        </w:rPr>
        <w:t xml:space="preserve">La presente política será distribuida al Jefe de Servicio, publicada en la página web institucional y difundida en el Servicio y a terceras partes que deban estar en conocimiento, de acuerdo con lo establecido por el </w:t>
      </w:r>
      <w:r w:rsidR="00EB0111">
        <w:rPr>
          <w:rFonts w:ascii="Arial" w:eastAsia="Calibri" w:hAnsi="Arial" w:cs="Arial"/>
        </w:rPr>
        <w:t>CHU</w:t>
      </w:r>
      <w:r w:rsidRPr="00210B26">
        <w:rPr>
          <w:rFonts w:ascii="Arial" w:eastAsia="Calibri" w:hAnsi="Arial" w:cs="Arial"/>
        </w:rPr>
        <w:t>, la Contraloría General de la República y las normas pertinentes.</w:t>
      </w:r>
    </w:p>
    <w:p w14:paraId="19967899" w14:textId="77777777" w:rsidR="0011775C" w:rsidRPr="00210B26" w:rsidRDefault="0011775C" w:rsidP="00F86F5D">
      <w:pPr>
        <w:spacing w:after="0"/>
        <w:jc w:val="both"/>
        <w:rPr>
          <w:rFonts w:ascii="Arial" w:eastAsia="Calibri" w:hAnsi="Arial" w:cs="Arial"/>
        </w:rPr>
      </w:pPr>
    </w:p>
    <w:p w14:paraId="01F326BD" w14:textId="34908E4C" w:rsidR="000958FB" w:rsidRPr="00210B26" w:rsidRDefault="000958FB" w:rsidP="00F86F5D">
      <w:pPr>
        <w:spacing w:after="0"/>
        <w:jc w:val="both"/>
        <w:rPr>
          <w:rFonts w:ascii="Arial" w:eastAsia="Calibri" w:hAnsi="Arial" w:cs="Arial"/>
          <w:b/>
        </w:rPr>
      </w:pPr>
      <w:r w:rsidRPr="00210B26">
        <w:rPr>
          <w:rFonts w:ascii="Arial" w:eastAsia="Calibri" w:hAnsi="Arial" w:cs="Arial"/>
          <w:b/>
        </w:rPr>
        <w:lastRenderedPageBreak/>
        <w:t>7. HISTORIAL DE REVISIONES</w:t>
      </w:r>
    </w:p>
    <w:p w14:paraId="28AFD40D" w14:textId="77777777" w:rsidR="00F86F5D" w:rsidRDefault="00F86F5D" w:rsidP="00F86F5D">
      <w:pPr>
        <w:spacing w:after="0"/>
        <w:jc w:val="both"/>
        <w:rPr>
          <w:rFonts w:ascii="Arial" w:eastAsia="Calibri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1"/>
        <w:gridCol w:w="938"/>
        <w:gridCol w:w="1310"/>
        <w:gridCol w:w="1808"/>
        <w:gridCol w:w="2841"/>
      </w:tblGrid>
      <w:tr w:rsidR="00F86F5D" w14:paraId="0F4777C6" w14:textId="77777777" w:rsidTr="007D01F8">
        <w:tc>
          <w:tcPr>
            <w:tcW w:w="1965" w:type="dxa"/>
            <w:shd w:val="clear" w:color="auto" w:fill="0070C0"/>
            <w:vAlign w:val="center"/>
          </w:tcPr>
          <w:p w14:paraId="324585B3" w14:textId="77777777" w:rsidR="00F86F5D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 w:rsidRPr="008B385E">
              <w:rPr>
                <w:rFonts w:ascii="Arial" w:eastAsia="Calibri" w:hAnsi="Arial" w:cs="Arial"/>
                <w:color w:val="FFFFFF" w:themeColor="background1"/>
                <w:lang w:val="es-ES"/>
              </w:rPr>
              <w:t>Antecedente</w:t>
            </w:r>
          </w:p>
        </w:tc>
        <w:tc>
          <w:tcPr>
            <w:tcW w:w="938" w:type="dxa"/>
            <w:shd w:val="clear" w:color="auto" w:fill="0070C0"/>
            <w:vAlign w:val="center"/>
          </w:tcPr>
          <w:p w14:paraId="3026E0CC" w14:textId="77777777" w:rsidR="00F86F5D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color w:val="FFFFFF" w:themeColor="background1"/>
                <w:lang w:val="es-ES"/>
              </w:rPr>
              <w:t>Edición</w:t>
            </w:r>
          </w:p>
        </w:tc>
        <w:tc>
          <w:tcPr>
            <w:tcW w:w="1345" w:type="dxa"/>
            <w:shd w:val="clear" w:color="auto" w:fill="0070C0"/>
            <w:vAlign w:val="center"/>
          </w:tcPr>
          <w:p w14:paraId="5E8AB17F" w14:textId="77777777" w:rsidR="00F86F5D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 w:rsidRPr="008B385E">
              <w:rPr>
                <w:rFonts w:ascii="Arial" w:eastAsia="Calibri" w:hAnsi="Arial" w:cs="Arial"/>
                <w:color w:val="FFFFFF" w:themeColor="background1"/>
                <w:lang w:val="es-ES"/>
              </w:rPr>
              <w:t>Fecha</w:t>
            </w:r>
          </w:p>
        </w:tc>
        <w:tc>
          <w:tcPr>
            <w:tcW w:w="1843" w:type="dxa"/>
            <w:shd w:val="clear" w:color="auto" w:fill="0070C0"/>
            <w:vAlign w:val="center"/>
          </w:tcPr>
          <w:p w14:paraId="09C8489B" w14:textId="77777777" w:rsidR="00F86F5D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color w:val="FFFFFF" w:themeColor="background1"/>
                <w:lang w:val="es-ES"/>
              </w:rPr>
              <w:t>Aprobación final</w:t>
            </w:r>
          </w:p>
        </w:tc>
        <w:tc>
          <w:tcPr>
            <w:tcW w:w="2948" w:type="dxa"/>
            <w:shd w:val="clear" w:color="auto" w:fill="0070C0"/>
            <w:vAlign w:val="center"/>
          </w:tcPr>
          <w:p w14:paraId="63961243" w14:textId="77777777" w:rsidR="00F86F5D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color w:val="FFFFFF" w:themeColor="background1"/>
                <w:lang w:val="es-ES"/>
              </w:rPr>
              <w:t>Descripción del cambio</w:t>
            </w:r>
          </w:p>
        </w:tc>
      </w:tr>
      <w:tr w:rsidR="00F86F5D" w14:paraId="23983E83" w14:textId="77777777" w:rsidTr="0067032E">
        <w:tc>
          <w:tcPr>
            <w:tcW w:w="1965" w:type="dxa"/>
          </w:tcPr>
          <w:p w14:paraId="43CA9BD4" w14:textId="77777777" w:rsidR="00F86F5D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Emisión</w:t>
            </w:r>
          </w:p>
        </w:tc>
        <w:tc>
          <w:tcPr>
            <w:tcW w:w="938" w:type="dxa"/>
          </w:tcPr>
          <w:p w14:paraId="4EC8F6FF" w14:textId="4EE5735F" w:rsidR="00F86F5D" w:rsidRPr="006A079C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0EB86C75" w14:textId="13D0DE1B" w:rsidR="00F86F5D" w:rsidRPr="006A079C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5425737C" w14:textId="0ED17060" w:rsidR="00F86F5D" w:rsidRPr="006A079C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948" w:type="dxa"/>
          </w:tcPr>
          <w:p w14:paraId="3BCC319E" w14:textId="6A6A65D4" w:rsidR="00F86F5D" w:rsidRPr="006A079C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F86F5D" w14:paraId="5C542569" w14:textId="77777777" w:rsidTr="0067032E">
        <w:tc>
          <w:tcPr>
            <w:tcW w:w="1965" w:type="dxa"/>
          </w:tcPr>
          <w:p w14:paraId="22A2DF57" w14:textId="77777777" w:rsidR="00F86F5D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Primera revisión </w:t>
            </w:r>
          </w:p>
        </w:tc>
        <w:tc>
          <w:tcPr>
            <w:tcW w:w="938" w:type="dxa"/>
          </w:tcPr>
          <w:p w14:paraId="5D5EC579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17CAADFE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5581A67D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948" w:type="dxa"/>
          </w:tcPr>
          <w:p w14:paraId="69DCF29B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F86F5D" w14:paraId="2EBD0AE5" w14:textId="77777777" w:rsidTr="0067032E">
        <w:tc>
          <w:tcPr>
            <w:tcW w:w="1965" w:type="dxa"/>
          </w:tcPr>
          <w:p w14:paraId="232C05B6" w14:textId="77777777" w:rsidR="00F86F5D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Segunda revisión </w:t>
            </w:r>
          </w:p>
        </w:tc>
        <w:tc>
          <w:tcPr>
            <w:tcW w:w="938" w:type="dxa"/>
          </w:tcPr>
          <w:p w14:paraId="6AE3E56A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43E50C98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4520EB13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948" w:type="dxa"/>
          </w:tcPr>
          <w:p w14:paraId="1AE71929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F86F5D" w14:paraId="316E2361" w14:textId="77777777" w:rsidTr="0067032E">
        <w:tc>
          <w:tcPr>
            <w:tcW w:w="1965" w:type="dxa"/>
          </w:tcPr>
          <w:p w14:paraId="2557B43B" w14:textId="77777777" w:rsidR="00F86F5D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Tercera revisión</w:t>
            </w:r>
          </w:p>
        </w:tc>
        <w:tc>
          <w:tcPr>
            <w:tcW w:w="938" w:type="dxa"/>
          </w:tcPr>
          <w:p w14:paraId="30AA0863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06108659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42FEC9A4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948" w:type="dxa"/>
          </w:tcPr>
          <w:p w14:paraId="438A7317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F86F5D" w14:paraId="19A7A97E" w14:textId="77777777" w:rsidTr="0067032E">
        <w:tc>
          <w:tcPr>
            <w:tcW w:w="1965" w:type="dxa"/>
          </w:tcPr>
          <w:p w14:paraId="69501AE6" w14:textId="77777777" w:rsidR="00F86F5D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Cuarta revisión</w:t>
            </w:r>
          </w:p>
        </w:tc>
        <w:tc>
          <w:tcPr>
            <w:tcW w:w="938" w:type="dxa"/>
          </w:tcPr>
          <w:p w14:paraId="4124E184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3EEC5760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0BE0D03A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948" w:type="dxa"/>
          </w:tcPr>
          <w:p w14:paraId="4AA0E616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01CFCB9D" w14:textId="77777777" w:rsidR="000958FB" w:rsidRPr="00D9031F" w:rsidRDefault="000958FB" w:rsidP="00451669">
      <w:pPr>
        <w:jc w:val="both"/>
        <w:rPr>
          <w:rFonts w:ascii="Arial" w:eastAsia="Calibri" w:hAnsi="Arial" w:cs="Arial"/>
        </w:rPr>
      </w:pPr>
    </w:p>
    <w:sectPr w:rsidR="000958FB" w:rsidRPr="00D9031F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A66D1" w14:textId="77777777" w:rsidR="00327E7A" w:rsidRDefault="00327E7A" w:rsidP="00451669">
      <w:pPr>
        <w:spacing w:after="0" w:line="240" w:lineRule="auto"/>
      </w:pPr>
      <w:r>
        <w:separator/>
      </w:r>
    </w:p>
  </w:endnote>
  <w:endnote w:type="continuationSeparator" w:id="0">
    <w:p w14:paraId="6156F9A5" w14:textId="77777777" w:rsidR="00327E7A" w:rsidRDefault="00327E7A" w:rsidP="00451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906265384"/>
      <w:docPartObj>
        <w:docPartGallery w:val="Page Numbers (Bottom of Page)"/>
        <w:docPartUnique/>
      </w:docPartObj>
    </w:sdtPr>
    <w:sdtEndPr/>
    <w:sdtContent>
      <w:p w14:paraId="74451643" w14:textId="361F0FBE" w:rsidR="00451669" w:rsidRPr="00F86F5D" w:rsidRDefault="00F86F5D" w:rsidP="00F86F5D">
        <w:pPr>
          <w:pStyle w:val="Footer"/>
          <w:jc w:val="right"/>
          <w:rPr>
            <w:lang w:val="es-ES"/>
          </w:rPr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A079C" w:rsidRPr="006A079C">
          <w:rPr>
            <w:noProof/>
            <w:lang w:val="es-ES"/>
          </w:rPr>
          <w:t>1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105D0" w14:textId="77777777" w:rsidR="00327E7A" w:rsidRDefault="00327E7A" w:rsidP="00451669">
      <w:pPr>
        <w:spacing w:after="0" w:line="240" w:lineRule="auto"/>
      </w:pPr>
      <w:r>
        <w:separator/>
      </w:r>
    </w:p>
  </w:footnote>
  <w:footnote w:type="continuationSeparator" w:id="0">
    <w:p w14:paraId="658DD174" w14:textId="77777777" w:rsidR="00327E7A" w:rsidRDefault="00327E7A" w:rsidP="00451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5BF85" w14:textId="0A11EDB3" w:rsidR="008373AE" w:rsidRDefault="00B61D26">
    <w:pPr>
      <w:pStyle w:val="Header"/>
    </w:pPr>
    <w:r>
      <w:rPr>
        <w:noProof/>
      </w:rPr>
      <w:pict w14:anchorId="2055790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536594" o:spid="_x0000_s1026" type="#_x0000_t136" style="position:absolute;margin-left:0;margin-top:0;width:545.1pt;height:77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4988" w:type="pct"/>
      <w:tblLayout w:type="fixed"/>
      <w:tblLook w:val="04A0" w:firstRow="1" w:lastRow="0" w:firstColumn="1" w:lastColumn="0" w:noHBand="0" w:noVBand="1"/>
    </w:tblPr>
    <w:tblGrid>
      <w:gridCol w:w="1489"/>
      <w:gridCol w:w="1932"/>
      <w:gridCol w:w="2189"/>
      <w:gridCol w:w="1770"/>
      <w:gridCol w:w="1427"/>
    </w:tblGrid>
    <w:tr w:rsidR="00D22867" w14:paraId="1B992D86" w14:textId="77777777" w:rsidTr="008529A3">
      <w:trPr>
        <w:trHeight w:val="276"/>
      </w:trPr>
      <w:tc>
        <w:tcPr>
          <w:tcW w:w="84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3291E68" w14:textId="30DDCBA2" w:rsidR="004C67DC" w:rsidRPr="004C67DC" w:rsidRDefault="004C67DC" w:rsidP="008529A3">
          <w:pPr>
            <w:jc w:val="center"/>
          </w:pPr>
          <w:r>
            <w:rPr>
              <w:noProof/>
            </w:rPr>
            <w:drawing>
              <wp:inline distT="0" distB="0" distL="0" distR="0" wp14:anchorId="358AA1E7" wp14:editId="1CDD591A">
                <wp:extent cx="856420" cy="524267"/>
                <wp:effectExtent l="0" t="0" r="1270" b="9525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7448" cy="5432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5" w:type="pct"/>
          <w:gridSpan w:val="3"/>
          <w:tcBorders>
            <w:left w:val="single" w:sz="4" w:space="0" w:color="auto"/>
          </w:tcBorders>
          <w:vAlign w:val="center"/>
          <w:hideMark/>
        </w:tcPr>
        <w:p w14:paraId="7D0D8D5D" w14:textId="0EE0899F" w:rsidR="003C5E62" w:rsidRDefault="008529A3" w:rsidP="0026391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eastAsia="Calibri" w:hAnsi="Arial" w:cs="Arial"/>
              <w:b/>
              <w:lang w:val="es-ES"/>
            </w:rPr>
            <w:t xml:space="preserve">POLÍTICA SOBRE </w:t>
          </w:r>
          <w:r w:rsidR="00892770">
            <w:rPr>
              <w:rFonts w:ascii="Arial" w:eastAsia="Calibri" w:hAnsi="Arial" w:cs="Arial"/>
              <w:b/>
              <w:lang w:val="es-ES"/>
            </w:rPr>
            <w:t xml:space="preserve">SUFICIENCIA Y </w:t>
          </w:r>
          <w:r w:rsidR="000148E4">
            <w:rPr>
              <w:rFonts w:ascii="Arial" w:eastAsia="Calibri" w:hAnsi="Arial" w:cs="Arial"/>
              <w:b/>
              <w:lang w:val="es-ES"/>
            </w:rPr>
            <w:t>GESTIÓN DE RECURSOS</w:t>
          </w:r>
          <w:r w:rsidR="00892770">
            <w:rPr>
              <w:rFonts w:ascii="Arial" w:eastAsia="Calibri" w:hAnsi="Arial" w:cs="Arial"/>
              <w:b/>
              <w:lang w:val="es-ES"/>
            </w:rPr>
            <w:t xml:space="preserve"> DE AUDITORÍA INTERNA</w:t>
          </w:r>
        </w:p>
        <w:p w14:paraId="1C1EED45" w14:textId="77777777" w:rsidR="00D22867" w:rsidRPr="00A60CEF" w:rsidRDefault="00D22867" w:rsidP="0026391C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11" w:type="pct"/>
          <w:vMerge w:val="restart"/>
          <w:vAlign w:val="center"/>
          <w:hideMark/>
        </w:tcPr>
        <w:p w14:paraId="69812C9B" w14:textId="77777777" w:rsidR="00D22867" w:rsidRPr="007A58D1" w:rsidRDefault="00D22867" w:rsidP="0026391C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22867" w14:paraId="5E68B881" w14:textId="77777777" w:rsidTr="0026391C">
      <w:trPr>
        <w:trHeight w:val="70"/>
      </w:trPr>
      <w:tc>
        <w:tcPr>
          <w:tcW w:w="84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E7420C7" w14:textId="77777777" w:rsidR="00D22867" w:rsidRDefault="00D22867" w:rsidP="0026391C"/>
      </w:tc>
      <w:tc>
        <w:tcPr>
          <w:tcW w:w="1097" w:type="pct"/>
          <w:tcBorders>
            <w:left w:val="single" w:sz="4" w:space="0" w:color="auto"/>
          </w:tcBorders>
          <w:vAlign w:val="center"/>
          <w:hideMark/>
        </w:tcPr>
        <w:p w14:paraId="281A6DDA" w14:textId="77777777" w:rsidR="00D22867" w:rsidRPr="007A58D1" w:rsidRDefault="00D22867" w:rsidP="0026391C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43" w:type="pct"/>
          <w:tcBorders>
            <w:left w:val="single" w:sz="4" w:space="0" w:color="auto"/>
          </w:tcBorders>
          <w:vAlign w:val="center"/>
        </w:tcPr>
        <w:p w14:paraId="18F50BD4" w14:textId="0998A389" w:rsidR="00D22867" w:rsidRPr="007A58D1" w:rsidRDefault="00D22867" w:rsidP="0026391C">
          <w:pPr>
            <w:pStyle w:val="Header"/>
            <w:jc w:val="both"/>
          </w:pPr>
          <w:r w:rsidRPr="007A58D1">
            <w:t>CODIGO:</w:t>
          </w:r>
          <w:r w:rsidR="002362E0">
            <w:t xml:space="preserve"> 0</w:t>
          </w:r>
          <w:r w:rsidR="00B61D26">
            <w:t>12</w:t>
          </w:r>
        </w:p>
      </w:tc>
      <w:tc>
        <w:tcPr>
          <w:tcW w:w="1004" w:type="pct"/>
          <w:vAlign w:val="center"/>
        </w:tcPr>
        <w:p w14:paraId="0BD3905F" w14:textId="77777777" w:rsidR="00D22867" w:rsidRPr="007A58D1" w:rsidRDefault="00D22867" w:rsidP="0026391C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811" w:type="pct"/>
          <w:vMerge/>
          <w:vAlign w:val="center"/>
          <w:hideMark/>
        </w:tcPr>
        <w:p w14:paraId="4E564382" w14:textId="77777777" w:rsidR="00D22867" w:rsidRPr="009F6386" w:rsidRDefault="00D22867" w:rsidP="0026391C">
          <w:pPr>
            <w:jc w:val="center"/>
            <w:rPr>
              <w:b/>
            </w:rPr>
          </w:pPr>
        </w:p>
      </w:tc>
    </w:tr>
  </w:tbl>
  <w:p w14:paraId="0EF30933" w14:textId="664D2AF8" w:rsidR="00451669" w:rsidRDefault="00B61D26">
    <w:pPr>
      <w:pStyle w:val="Header"/>
    </w:pPr>
    <w:r>
      <w:rPr>
        <w:noProof/>
      </w:rPr>
      <w:pict w14:anchorId="18203C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536595" o:spid="_x0000_s1028" type="#_x0000_t136" style="position:absolute;margin-left:0;margin-top:0;width:545.1pt;height:77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358D9" w14:textId="777A8728" w:rsidR="008373AE" w:rsidRDefault="00B61D26">
    <w:pPr>
      <w:pStyle w:val="Header"/>
    </w:pPr>
    <w:r>
      <w:rPr>
        <w:noProof/>
      </w:rPr>
      <w:pict w14:anchorId="3FECB8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536593" o:spid="_x0000_s1025" type="#_x0000_t136" style="position:absolute;margin-left:0;margin-top:0;width:545.1pt;height:77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543C8"/>
    <w:multiLevelType w:val="multilevel"/>
    <w:tmpl w:val="596AC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D2B7E"/>
    <w:multiLevelType w:val="multilevel"/>
    <w:tmpl w:val="6B16B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102888"/>
    <w:multiLevelType w:val="multilevel"/>
    <w:tmpl w:val="F704E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105484"/>
    <w:multiLevelType w:val="multilevel"/>
    <w:tmpl w:val="F704E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746D5D"/>
    <w:multiLevelType w:val="hybridMultilevel"/>
    <w:tmpl w:val="38AC91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80F9D"/>
    <w:multiLevelType w:val="hybridMultilevel"/>
    <w:tmpl w:val="EDE4D43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B55E3"/>
    <w:multiLevelType w:val="hybridMultilevel"/>
    <w:tmpl w:val="EC18F97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31438"/>
    <w:multiLevelType w:val="multilevel"/>
    <w:tmpl w:val="9B987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22E3A"/>
    <w:multiLevelType w:val="hybridMultilevel"/>
    <w:tmpl w:val="3AE0F47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751A1C"/>
    <w:multiLevelType w:val="multilevel"/>
    <w:tmpl w:val="B2608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5E15B4"/>
    <w:multiLevelType w:val="hybridMultilevel"/>
    <w:tmpl w:val="92EE5D4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9F33E5"/>
    <w:multiLevelType w:val="multilevel"/>
    <w:tmpl w:val="596AC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D53B56"/>
    <w:multiLevelType w:val="hybridMultilevel"/>
    <w:tmpl w:val="2884B32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D2D66"/>
    <w:multiLevelType w:val="multilevel"/>
    <w:tmpl w:val="16A8A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F87CCB"/>
    <w:multiLevelType w:val="hybridMultilevel"/>
    <w:tmpl w:val="7CC64E9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C8097D"/>
    <w:multiLevelType w:val="hybridMultilevel"/>
    <w:tmpl w:val="AA38934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100296">
      <w:numFmt w:val="bullet"/>
      <w:lvlText w:val="•"/>
      <w:lvlJc w:val="left"/>
      <w:pPr>
        <w:ind w:left="1425" w:hanging="705"/>
      </w:pPr>
      <w:rPr>
        <w:rFonts w:ascii="Arial" w:eastAsia="Calibri" w:hAnsi="Arial" w:cs="Arial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9B6D09"/>
    <w:multiLevelType w:val="hybridMultilevel"/>
    <w:tmpl w:val="2BB2B9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127155"/>
    <w:multiLevelType w:val="multilevel"/>
    <w:tmpl w:val="F704E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19647F"/>
    <w:multiLevelType w:val="hybridMultilevel"/>
    <w:tmpl w:val="41A0F1C0"/>
    <w:lvl w:ilvl="0" w:tplc="6DB4FAFC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A84BFD"/>
    <w:multiLevelType w:val="hybridMultilevel"/>
    <w:tmpl w:val="B7B8A2E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C2028FC"/>
    <w:multiLevelType w:val="multilevel"/>
    <w:tmpl w:val="31981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AD6DFD"/>
    <w:multiLevelType w:val="multilevel"/>
    <w:tmpl w:val="9C785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571992"/>
    <w:multiLevelType w:val="multilevel"/>
    <w:tmpl w:val="4FA49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7228B7"/>
    <w:multiLevelType w:val="hybridMultilevel"/>
    <w:tmpl w:val="DC76251E"/>
    <w:lvl w:ilvl="0" w:tplc="D19C004C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036F97"/>
    <w:multiLevelType w:val="hybridMultilevel"/>
    <w:tmpl w:val="60DEA2C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C197C3A"/>
    <w:multiLevelType w:val="hybridMultilevel"/>
    <w:tmpl w:val="2D5EE5A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B10727"/>
    <w:multiLevelType w:val="hybridMultilevel"/>
    <w:tmpl w:val="32C8751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4C51949"/>
    <w:multiLevelType w:val="hybridMultilevel"/>
    <w:tmpl w:val="9474A4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B582D"/>
    <w:multiLevelType w:val="multilevel"/>
    <w:tmpl w:val="FB6AD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8AB3575"/>
    <w:multiLevelType w:val="multilevel"/>
    <w:tmpl w:val="F14E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AC5CBB"/>
    <w:multiLevelType w:val="multilevel"/>
    <w:tmpl w:val="6EA2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FA24FB"/>
    <w:multiLevelType w:val="hybridMultilevel"/>
    <w:tmpl w:val="DBEC74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B175B6"/>
    <w:multiLevelType w:val="hybridMultilevel"/>
    <w:tmpl w:val="3A22AC4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6B7794"/>
    <w:multiLevelType w:val="hybridMultilevel"/>
    <w:tmpl w:val="8D3CBDC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5B46CC"/>
    <w:multiLevelType w:val="hybridMultilevel"/>
    <w:tmpl w:val="80BC43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F41EC3"/>
    <w:multiLevelType w:val="hybridMultilevel"/>
    <w:tmpl w:val="A32A03F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8325E57"/>
    <w:multiLevelType w:val="multilevel"/>
    <w:tmpl w:val="11D8D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2081966">
    <w:abstractNumId w:val="10"/>
  </w:num>
  <w:num w:numId="2" w16cid:durableId="1291596362">
    <w:abstractNumId w:val="8"/>
  </w:num>
  <w:num w:numId="3" w16cid:durableId="1184901435">
    <w:abstractNumId w:val="14"/>
  </w:num>
  <w:num w:numId="4" w16cid:durableId="1893231291">
    <w:abstractNumId w:val="26"/>
  </w:num>
  <w:num w:numId="5" w16cid:durableId="1436946316">
    <w:abstractNumId w:val="23"/>
  </w:num>
  <w:num w:numId="6" w16cid:durableId="1999844165">
    <w:abstractNumId w:val="15"/>
  </w:num>
  <w:num w:numId="7" w16cid:durableId="1903129613">
    <w:abstractNumId w:val="18"/>
  </w:num>
  <w:num w:numId="8" w16cid:durableId="1990941359">
    <w:abstractNumId w:val="24"/>
  </w:num>
  <w:num w:numId="9" w16cid:durableId="141967133">
    <w:abstractNumId w:val="27"/>
  </w:num>
  <w:num w:numId="10" w16cid:durableId="1665741133">
    <w:abstractNumId w:val="35"/>
  </w:num>
  <w:num w:numId="11" w16cid:durableId="512306303">
    <w:abstractNumId w:val="19"/>
  </w:num>
  <w:num w:numId="12" w16cid:durableId="280846018">
    <w:abstractNumId w:val="33"/>
  </w:num>
  <w:num w:numId="13" w16cid:durableId="2058043286">
    <w:abstractNumId w:val="5"/>
  </w:num>
  <w:num w:numId="14" w16cid:durableId="449130108">
    <w:abstractNumId w:val="4"/>
  </w:num>
  <w:num w:numId="15" w16cid:durableId="49038914">
    <w:abstractNumId w:val="6"/>
  </w:num>
  <w:num w:numId="16" w16cid:durableId="1831168428">
    <w:abstractNumId w:val="16"/>
  </w:num>
  <w:num w:numId="17" w16cid:durableId="1546526841">
    <w:abstractNumId w:val="31"/>
  </w:num>
  <w:num w:numId="18" w16cid:durableId="1801798178">
    <w:abstractNumId w:val="25"/>
  </w:num>
  <w:num w:numId="19" w16cid:durableId="135607261">
    <w:abstractNumId w:val="32"/>
  </w:num>
  <w:num w:numId="20" w16cid:durableId="242833311">
    <w:abstractNumId w:val="12"/>
  </w:num>
  <w:num w:numId="21" w16cid:durableId="1762674731">
    <w:abstractNumId w:val="1"/>
  </w:num>
  <w:num w:numId="22" w16cid:durableId="365954697">
    <w:abstractNumId w:val="21"/>
  </w:num>
  <w:num w:numId="23" w16cid:durableId="1750543515">
    <w:abstractNumId w:val="29"/>
  </w:num>
  <w:num w:numId="24" w16cid:durableId="890577617">
    <w:abstractNumId w:val="34"/>
  </w:num>
  <w:num w:numId="25" w16cid:durableId="163126396">
    <w:abstractNumId w:val="9"/>
  </w:num>
  <w:num w:numId="26" w16cid:durableId="406878321">
    <w:abstractNumId w:val="36"/>
  </w:num>
  <w:num w:numId="27" w16cid:durableId="961496095">
    <w:abstractNumId w:val="30"/>
  </w:num>
  <w:num w:numId="28" w16cid:durableId="1019698124">
    <w:abstractNumId w:val="7"/>
  </w:num>
  <w:num w:numId="29" w16cid:durableId="1100878480">
    <w:abstractNumId w:val="28"/>
  </w:num>
  <w:num w:numId="30" w16cid:durableId="1671521041">
    <w:abstractNumId w:val="20"/>
  </w:num>
  <w:num w:numId="31" w16cid:durableId="716976538">
    <w:abstractNumId w:val="22"/>
  </w:num>
  <w:num w:numId="32" w16cid:durableId="540484444">
    <w:abstractNumId w:val="11"/>
  </w:num>
  <w:num w:numId="33" w16cid:durableId="387412609">
    <w:abstractNumId w:val="0"/>
  </w:num>
  <w:num w:numId="34" w16cid:durableId="1891568823">
    <w:abstractNumId w:val="13"/>
  </w:num>
  <w:num w:numId="35" w16cid:durableId="281498679">
    <w:abstractNumId w:val="2"/>
  </w:num>
  <w:num w:numId="36" w16cid:durableId="1664893145">
    <w:abstractNumId w:val="3"/>
  </w:num>
  <w:num w:numId="37" w16cid:durableId="209331258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266"/>
    <w:rsid w:val="000076E0"/>
    <w:rsid w:val="000148E4"/>
    <w:rsid w:val="00024537"/>
    <w:rsid w:val="0003021C"/>
    <w:rsid w:val="0007230F"/>
    <w:rsid w:val="00094DAE"/>
    <w:rsid w:val="000958FB"/>
    <w:rsid w:val="000A78F1"/>
    <w:rsid w:val="000B5A2C"/>
    <w:rsid w:val="000D11FC"/>
    <w:rsid w:val="001020FC"/>
    <w:rsid w:val="0011400A"/>
    <w:rsid w:val="0011775C"/>
    <w:rsid w:val="0012124D"/>
    <w:rsid w:val="0012313D"/>
    <w:rsid w:val="001274A4"/>
    <w:rsid w:val="00143971"/>
    <w:rsid w:val="00150471"/>
    <w:rsid w:val="001647B2"/>
    <w:rsid w:val="001715F2"/>
    <w:rsid w:val="00195894"/>
    <w:rsid w:val="001B265C"/>
    <w:rsid w:val="001C2E8B"/>
    <w:rsid w:val="001F7D87"/>
    <w:rsid w:val="00210B26"/>
    <w:rsid w:val="00225150"/>
    <w:rsid w:val="002362E0"/>
    <w:rsid w:val="0025063D"/>
    <w:rsid w:val="0028115A"/>
    <w:rsid w:val="00290DE4"/>
    <w:rsid w:val="002B517B"/>
    <w:rsid w:val="002C1537"/>
    <w:rsid w:val="002E6D04"/>
    <w:rsid w:val="002F0244"/>
    <w:rsid w:val="002F14EF"/>
    <w:rsid w:val="0030096A"/>
    <w:rsid w:val="00303829"/>
    <w:rsid w:val="00327E7A"/>
    <w:rsid w:val="003501E6"/>
    <w:rsid w:val="00354971"/>
    <w:rsid w:val="00364B34"/>
    <w:rsid w:val="003749E9"/>
    <w:rsid w:val="00393462"/>
    <w:rsid w:val="003A3CEF"/>
    <w:rsid w:val="003C5E62"/>
    <w:rsid w:val="003F298A"/>
    <w:rsid w:val="003F695C"/>
    <w:rsid w:val="0040637B"/>
    <w:rsid w:val="004126A3"/>
    <w:rsid w:val="00434633"/>
    <w:rsid w:val="00443E64"/>
    <w:rsid w:val="00446ECA"/>
    <w:rsid w:val="00451669"/>
    <w:rsid w:val="00456570"/>
    <w:rsid w:val="004767E3"/>
    <w:rsid w:val="004944CC"/>
    <w:rsid w:val="004A03EC"/>
    <w:rsid w:val="004A4821"/>
    <w:rsid w:val="004C67DC"/>
    <w:rsid w:val="004D178A"/>
    <w:rsid w:val="004D4F38"/>
    <w:rsid w:val="004E6A39"/>
    <w:rsid w:val="00503758"/>
    <w:rsid w:val="00503BDC"/>
    <w:rsid w:val="00506C39"/>
    <w:rsid w:val="00510A80"/>
    <w:rsid w:val="005127CF"/>
    <w:rsid w:val="00516EDA"/>
    <w:rsid w:val="00532EDA"/>
    <w:rsid w:val="005408B5"/>
    <w:rsid w:val="0054097F"/>
    <w:rsid w:val="0055383A"/>
    <w:rsid w:val="005A328C"/>
    <w:rsid w:val="005D57B2"/>
    <w:rsid w:val="00613FE0"/>
    <w:rsid w:val="006402B6"/>
    <w:rsid w:val="0064225B"/>
    <w:rsid w:val="00643266"/>
    <w:rsid w:val="0067032E"/>
    <w:rsid w:val="006A079C"/>
    <w:rsid w:val="006B08F4"/>
    <w:rsid w:val="006E6804"/>
    <w:rsid w:val="006E6D88"/>
    <w:rsid w:val="007159E5"/>
    <w:rsid w:val="00721AC7"/>
    <w:rsid w:val="00724EE4"/>
    <w:rsid w:val="00725AAE"/>
    <w:rsid w:val="00731BCA"/>
    <w:rsid w:val="00732FAD"/>
    <w:rsid w:val="0074663E"/>
    <w:rsid w:val="007545D9"/>
    <w:rsid w:val="0077397E"/>
    <w:rsid w:val="00791FC0"/>
    <w:rsid w:val="00796D86"/>
    <w:rsid w:val="007A6763"/>
    <w:rsid w:val="007C7B67"/>
    <w:rsid w:val="007D01F8"/>
    <w:rsid w:val="007E1FFA"/>
    <w:rsid w:val="007E271B"/>
    <w:rsid w:val="007F2E51"/>
    <w:rsid w:val="007F7DE0"/>
    <w:rsid w:val="00806D06"/>
    <w:rsid w:val="008210FA"/>
    <w:rsid w:val="00824BAF"/>
    <w:rsid w:val="008373AE"/>
    <w:rsid w:val="008529A3"/>
    <w:rsid w:val="0088183A"/>
    <w:rsid w:val="00892770"/>
    <w:rsid w:val="008A6CFD"/>
    <w:rsid w:val="008C0273"/>
    <w:rsid w:val="008D4054"/>
    <w:rsid w:val="008E1650"/>
    <w:rsid w:val="008E4303"/>
    <w:rsid w:val="00911C84"/>
    <w:rsid w:val="00994DED"/>
    <w:rsid w:val="009B2178"/>
    <w:rsid w:val="009C29FA"/>
    <w:rsid w:val="009D087A"/>
    <w:rsid w:val="009E2460"/>
    <w:rsid w:val="009E326D"/>
    <w:rsid w:val="00A01DFF"/>
    <w:rsid w:val="00A0381F"/>
    <w:rsid w:val="00A7000E"/>
    <w:rsid w:val="00A731AB"/>
    <w:rsid w:val="00A73D4D"/>
    <w:rsid w:val="00A82C45"/>
    <w:rsid w:val="00AC033B"/>
    <w:rsid w:val="00AC640E"/>
    <w:rsid w:val="00B01944"/>
    <w:rsid w:val="00B052F7"/>
    <w:rsid w:val="00B13065"/>
    <w:rsid w:val="00B570FF"/>
    <w:rsid w:val="00B60662"/>
    <w:rsid w:val="00B61D26"/>
    <w:rsid w:val="00B64AC2"/>
    <w:rsid w:val="00B77F3F"/>
    <w:rsid w:val="00BC2FF3"/>
    <w:rsid w:val="00BD53E8"/>
    <w:rsid w:val="00BE4759"/>
    <w:rsid w:val="00C05EF8"/>
    <w:rsid w:val="00C13508"/>
    <w:rsid w:val="00C526D5"/>
    <w:rsid w:val="00C57E5C"/>
    <w:rsid w:val="00C76C9F"/>
    <w:rsid w:val="00CA14C6"/>
    <w:rsid w:val="00CE795A"/>
    <w:rsid w:val="00D02883"/>
    <w:rsid w:val="00D1044B"/>
    <w:rsid w:val="00D11C80"/>
    <w:rsid w:val="00D22867"/>
    <w:rsid w:val="00D2543A"/>
    <w:rsid w:val="00D337EA"/>
    <w:rsid w:val="00D359AE"/>
    <w:rsid w:val="00D400FA"/>
    <w:rsid w:val="00D4693D"/>
    <w:rsid w:val="00D52544"/>
    <w:rsid w:val="00D81585"/>
    <w:rsid w:val="00D9031F"/>
    <w:rsid w:val="00D90C7E"/>
    <w:rsid w:val="00D9320F"/>
    <w:rsid w:val="00DA078A"/>
    <w:rsid w:val="00DB5CC5"/>
    <w:rsid w:val="00DC7B38"/>
    <w:rsid w:val="00DF04E4"/>
    <w:rsid w:val="00E1750E"/>
    <w:rsid w:val="00E232CE"/>
    <w:rsid w:val="00E55533"/>
    <w:rsid w:val="00E72B5C"/>
    <w:rsid w:val="00EB0111"/>
    <w:rsid w:val="00EB2D03"/>
    <w:rsid w:val="00EF1E4B"/>
    <w:rsid w:val="00EF5B98"/>
    <w:rsid w:val="00EF7439"/>
    <w:rsid w:val="00F03BA9"/>
    <w:rsid w:val="00F054D8"/>
    <w:rsid w:val="00F2169B"/>
    <w:rsid w:val="00F57C35"/>
    <w:rsid w:val="00F71EB8"/>
    <w:rsid w:val="00F86F5D"/>
    <w:rsid w:val="00FA7D8D"/>
    <w:rsid w:val="00FC2F0C"/>
    <w:rsid w:val="00FD0670"/>
    <w:rsid w:val="00FF1988"/>
    <w:rsid w:val="00FF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09AB2"/>
  <w15:docId w15:val="{DF6B7111-207D-4233-AB70-98DA5130E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266"/>
  </w:style>
  <w:style w:type="paragraph" w:styleId="Heading1">
    <w:name w:val="heading 1"/>
    <w:basedOn w:val="Normal"/>
    <w:next w:val="Normal"/>
    <w:link w:val="Heading1Char"/>
    <w:uiPriority w:val="9"/>
    <w:qFormat/>
    <w:rsid w:val="00D228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5B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39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6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669"/>
  </w:style>
  <w:style w:type="paragraph" w:styleId="Footer">
    <w:name w:val="footer"/>
    <w:basedOn w:val="Normal"/>
    <w:link w:val="FooterChar"/>
    <w:uiPriority w:val="99"/>
    <w:unhideWhenUsed/>
    <w:rsid w:val="004516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669"/>
  </w:style>
  <w:style w:type="table" w:customStyle="1" w:styleId="Tablaconcuadrcula1">
    <w:name w:val="Tabla con cuadrícula1"/>
    <w:basedOn w:val="TableNormal"/>
    <w:next w:val="TableGrid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eNormal"/>
    <w:next w:val="TableGrid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7D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7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E5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228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B05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Strong">
    <w:name w:val="Strong"/>
    <w:basedOn w:val="DefaultParagraphFont"/>
    <w:uiPriority w:val="22"/>
    <w:qFormat/>
    <w:rsid w:val="00B052F7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5B9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3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3E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3EC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3971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3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6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45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56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4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96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222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53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146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0549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4154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659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1560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0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1547</Words>
  <Characters>8513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Correa Fuenzalida</dc:creator>
  <cp:lastModifiedBy>Ricardo Correa Fuenzalida</cp:lastModifiedBy>
  <cp:revision>5</cp:revision>
  <dcterms:created xsi:type="dcterms:W3CDTF">2025-03-13T18:43:00Z</dcterms:created>
  <dcterms:modified xsi:type="dcterms:W3CDTF">2025-03-13T18:48:00Z</dcterms:modified>
</cp:coreProperties>
</file>